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374" w:rsidRDefault="00741374" w:rsidP="00741374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noProof/>
          <w:sz w:val="36"/>
          <w:szCs w:val="36"/>
        </w:rPr>
        <w:drawing>
          <wp:inline distT="0" distB="0" distL="0" distR="0">
            <wp:extent cx="1904762" cy="95238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ademic-and-career-planning-ACP-sub-logo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4762" cy="9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1374" w:rsidRDefault="001139B4" w:rsidP="00741374">
      <w:pPr>
        <w:jc w:val="center"/>
        <w:rPr>
          <w:rFonts w:ascii="Constantia" w:hAnsi="Constantia"/>
          <w:sz w:val="36"/>
          <w:szCs w:val="36"/>
        </w:rPr>
      </w:pPr>
      <w:r>
        <w:rPr>
          <w:rFonts w:ascii="Constantia" w:hAnsi="Constantia"/>
          <w:sz w:val="36"/>
          <w:szCs w:val="36"/>
        </w:rPr>
        <w:t>Questions to Spark Thought About Your School’s/District’s Approach to College and Career Readiness</w:t>
      </w:r>
    </w:p>
    <w:p w:rsidR="00741374" w:rsidRPr="0052640C" w:rsidRDefault="00741374" w:rsidP="00741374">
      <w:pPr>
        <w:jc w:val="center"/>
        <w:rPr>
          <w:rFonts w:ascii="Constantia" w:hAnsi="Constantia"/>
          <w:sz w:val="20"/>
          <w:szCs w:val="20"/>
        </w:rPr>
      </w:pPr>
    </w:p>
    <w:p w:rsidR="00B662A5" w:rsidRPr="00727B75" w:rsidRDefault="008C7CA7" w:rsidP="00B662A5">
      <w:pPr>
        <w:rPr>
          <w:rFonts w:ascii="Constantia" w:hAnsi="Constantia"/>
          <w:sz w:val="26"/>
          <w:szCs w:val="26"/>
        </w:rPr>
      </w:pPr>
      <w:r w:rsidRPr="00727B75">
        <w:rPr>
          <w:rFonts w:ascii="Constantia" w:hAnsi="Constantia"/>
          <w:sz w:val="26"/>
          <w:szCs w:val="26"/>
        </w:rPr>
        <w:t xml:space="preserve">DPI’s approach to </w:t>
      </w:r>
      <w:r w:rsidR="00B662A5" w:rsidRPr="00727B75">
        <w:rPr>
          <w:rFonts w:ascii="Constantia" w:hAnsi="Constantia"/>
          <w:sz w:val="26"/>
          <w:szCs w:val="26"/>
        </w:rPr>
        <w:t xml:space="preserve">College and Career Readiness </w:t>
      </w:r>
      <w:r w:rsidRPr="00727B75">
        <w:rPr>
          <w:rFonts w:ascii="Constantia" w:hAnsi="Constantia"/>
          <w:sz w:val="26"/>
          <w:szCs w:val="26"/>
        </w:rPr>
        <w:t>strives to prepare</w:t>
      </w:r>
      <w:r w:rsidR="00B662A5" w:rsidRPr="00727B75">
        <w:rPr>
          <w:rFonts w:ascii="Constantia" w:hAnsi="Constantia"/>
          <w:sz w:val="26"/>
          <w:szCs w:val="26"/>
        </w:rPr>
        <w:t xml:space="preserve"> students for post-secondary experiences by providing rigorous, rich, and well-rounded public school experiences that address academic preparedness and social/emotional competence. These proficiencies and attributes</w:t>
      </w:r>
      <w:r w:rsidRPr="00727B75">
        <w:rPr>
          <w:rFonts w:ascii="Constantia" w:hAnsi="Constantia"/>
          <w:sz w:val="26"/>
          <w:szCs w:val="26"/>
        </w:rPr>
        <w:t xml:space="preserve"> for success</w:t>
      </w:r>
      <w:r w:rsidR="00B662A5" w:rsidRPr="00727B75">
        <w:rPr>
          <w:rFonts w:ascii="Constantia" w:hAnsi="Constantia"/>
          <w:sz w:val="26"/>
          <w:szCs w:val="26"/>
        </w:rPr>
        <w:t xml:space="preserve"> are </w:t>
      </w:r>
      <w:r w:rsidR="001139B4" w:rsidRPr="00727B75">
        <w:rPr>
          <w:rFonts w:ascii="Constantia" w:hAnsi="Constantia"/>
          <w:sz w:val="26"/>
          <w:szCs w:val="26"/>
        </w:rPr>
        <w:t>evident in the demonstration</w:t>
      </w:r>
      <w:r w:rsidR="00B662A5" w:rsidRPr="00727B75">
        <w:rPr>
          <w:rFonts w:ascii="Constantia" w:hAnsi="Constantia"/>
          <w:sz w:val="26"/>
          <w:szCs w:val="26"/>
        </w:rPr>
        <w:t xml:space="preserve"> </w:t>
      </w:r>
      <w:r w:rsidR="001139B4" w:rsidRPr="00727B75">
        <w:rPr>
          <w:rFonts w:ascii="Constantia" w:hAnsi="Constantia"/>
          <w:sz w:val="26"/>
          <w:szCs w:val="26"/>
        </w:rPr>
        <w:t>of</w:t>
      </w:r>
      <w:r w:rsidR="00B662A5" w:rsidRPr="00727B75">
        <w:rPr>
          <w:rFonts w:ascii="Constantia" w:hAnsi="Constantia"/>
          <w:sz w:val="26"/>
          <w:szCs w:val="26"/>
        </w:rPr>
        <w:t xml:space="preserve"> students</w:t>
      </w:r>
      <w:r w:rsidR="001139B4" w:rsidRPr="00727B75">
        <w:rPr>
          <w:rFonts w:ascii="Constantia" w:hAnsi="Constantia"/>
          <w:sz w:val="26"/>
          <w:szCs w:val="26"/>
        </w:rPr>
        <w:t>’</w:t>
      </w:r>
      <w:r w:rsidR="00B662A5" w:rsidRPr="00727B75">
        <w:rPr>
          <w:rFonts w:ascii="Constantia" w:hAnsi="Constantia"/>
          <w:sz w:val="26"/>
          <w:szCs w:val="26"/>
        </w:rPr>
        <w:t xml:space="preserve"> </w:t>
      </w:r>
      <w:r w:rsidR="001139B4" w:rsidRPr="00727B75">
        <w:rPr>
          <w:rFonts w:ascii="Constantia" w:hAnsi="Constantia"/>
          <w:sz w:val="26"/>
          <w:szCs w:val="26"/>
        </w:rPr>
        <w:t xml:space="preserve">academic content </w:t>
      </w:r>
      <w:r w:rsidR="00B662A5" w:rsidRPr="00727B75">
        <w:rPr>
          <w:rFonts w:ascii="Constantia" w:hAnsi="Constantia"/>
          <w:sz w:val="26"/>
          <w:szCs w:val="26"/>
        </w:rPr>
        <w:t xml:space="preserve">knowledge, </w:t>
      </w:r>
      <w:r w:rsidR="001139B4" w:rsidRPr="00727B75">
        <w:rPr>
          <w:rFonts w:ascii="Constantia" w:hAnsi="Constantia"/>
          <w:sz w:val="26"/>
          <w:szCs w:val="26"/>
        </w:rPr>
        <w:t>application of critical skills (including critical thinking, communication, collaboration, and creativity),</w:t>
      </w:r>
      <w:r w:rsidR="00B662A5" w:rsidRPr="00727B75">
        <w:rPr>
          <w:rFonts w:ascii="Constantia" w:hAnsi="Constantia"/>
          <w:sz w:val="26"/>
          <w:szCs w:val="26"/>
        </w:rPr>
        <w:t xml:space="preserve"> and </w:t>
      </w:r>
      <w:r w:rsidR="001139B4" w:rsidRPr="00727B75">
        <w:rPr>
          <w:rFonts w:ascii="Constantia" w:hAnsi="Constantia"/>
          <w:sz w:val="26"/>
          <w:szCs w:val="26"/>
        </w:rPr>
        <w:t xml:space="preserve">positive </w:t>
      </w:r>
      <w:r w:rsidR="00B662A5" w:rsidRPr="00727B75">
        <w:rPr>
          <w:rFonts w:ascii="Constantia" w:hAnsi="Constantia"/>
          <w:sz w:val="26"/>
          <w:szCs w:val="26"/>
        </w:rPr>
        <w:t>habits</w:t>
      </w:r>
      <w:r w:rsidR="001139B4" w:rsidRPr="00727B75">
        <w:rPr>
          <w:rFonts w:ascii="Constantia" w:hAnsi="Constantia"/>
          <w:sz w:val="26"/>
          <w:szCs w:val="26"/>
        </w:rPr>
        <w:t xml:space="preserve"> (such as perseverance, responsibility, adaptability, and leadership).</w:t>
      </w:r>
    </w:p>
    <w:p w:rsidR="008C7CA7" w:rsidRPr="0052640C" w:rsidRDefault="008C7CA7" w:rsidP="00B662A5">
      <w:pPr>
        <w:rPr>
          <w:rFonts w:ascii="Constantia" w:hAnsi="Constantia"/>
          <w:sz w:val="20"/>
          <w:szCs w:val="20"/>
        </w:rPr>
      </w:pPr>
    </w:p>
    <w:p w:rsidR="008C7CA7" w:rsidRPr="00727B75" w:rsidRDefault="008C7CA7" w:rsidP="00B662A5">
      <w:pPr>
        <w:rPr>
          <w:rFonts w:ascii="Constantia" w:hAnsi="Constantia"/>
          <w:sz w:val="26"/>
          <w:szCs w:val="26"/>
        </w:rPr>
      </w:pPr>
      <w:r w:rsidRPr="00727B75">
        <w:rPr>
          <w:rFonts w:ascii="Constantia" w:hAnsi="Constantia"/>
          <w:sz w:val="26"/>
          <w:szCs w:val="26"/>
        </w:rPr>
        <w:t>Given the importance of schools and districts personalization of the ACP Process, it is necessary to engage in conversations around your school’s/district’s core beliefs about your educational outcomes.</w:t>
      </w:r>
    </w:p>
    <w:p w:rsidR="008C7CA7" w:rsidRPr="0052640C" w:rsidRDefault="008C7CA7" w:rsidP="00B662A5">
      <w:pPr>
        <w:rPr>
          <w:rFonts w:ascii="Constantia" w:hAnsi="Constantia"/>
          <w:sz w:val="20"/>
          <w:szCs w:val="20"/>
        </w:rPr>
      </w:pPr>
    </w:p>
    <w:p w:rsidR="008C7CA7" w:rsidRPr="00727B75" w:rsidRDefault="008C7CA7" w:rsidP="00B662A5">
      <w:pPr>
        <w:rPr>
          <w:rFonts w:ascii="Constantia" w:hAnsi="Constantia"/>
          <w:sz w:val="26"/>
          <w:szCs w:val="26"/>
        </w:rPr>
      </w:pPr>
      <w:r w:rsidRPr="00727B75">
        <w:rPr>
          <w:rFonts w:ascii="Constantia" w:hAnsi="Constantia"/>
          <w:sz w:val="26"/>
          <w:szCs w:val="26"/>
        </w:rPr>
        <w:t>Beginning with the first question, give individuals time to form their own unique answers. Following some reflection time, bring the group together to create a comprehensive list of answers</w:t>
      </w:r>
      <w:r w:rsidR="00727B75" w:rsidRPr="00727B75">
        <w:rPr>
          <w:rFonts w:ascii="Constantia" w:hAnsi="Constantia"/>
          <w:sz w:val="26"/>
          <w:szCs w:val="26"/>
        </w:rPr>
        <w:t>. Once the list is complete, build consensus around proficiencies or attributes your group really believes are the keys to building student success. You should end up with 3-5 knowledge bases, 3-5 skill sets, and 3-5 positive habits.</w:t>
      </w:r>
    </w:p>
    <w:p w:rsidR="00727B75" w:rsidRPr="0052640C" w:rsidRDefault="00727B75" w:rsidP="00B662A5">
      <w:pPr>
        <w:rPr>
          <w:rFonts w:ascii="Constantia" w:hAnsi="Constantia"/>
          <w:sz w:val="20"/>
          <w:szCs w:val="20"/>
        </w:rPr>
      </w:pPr>
    </w:p>
    <w:p w:rsidR="00727B75" w:rsidRPr="00727B75" w:rsidRDefault="00727B75" w:rsidP="00B662A5">
      <w:pPr>
        <w:rPr>
          <w:rFonts w:ascii="Constantia" w:hAnsi="Constantia"/>
          <w:sz w:val="26"/>
          <w:szCs w:val="26"/>
        </w:rPr>
      </w:pPr>
      <w:r w:rsidRPr="00727B75">
        <w:rPr>
          <w:rFonts w:ascii="Constantia" w:hAnsi="Constantia"/>
          <w:sz w:val="26"/>
          <w:szCs w:val="26"/>
        </w:rPr>
        <w:t>Once complete, progress through the other essential questions and essential problem-solving activities.</w:t>
      </w:r>
    </w:p>
    <w:p w:rsidR="00B662A5" w:rsidRPr="008C7CA7" w:rsidRDefault="00B662A5" w:rsidP="00B662A5">
      <w:pPr>
        <w:pStyle w:val="NormalWeb"/>
        <w:spacing w:before="0" w:beforeAutospacing="0" w:after="0" w:afterAutospacing="0"/>
        <w:rPr>
          <w:rFonts w:ascii="Constantia" w:hAnsi="Constantia" w:cs="Arial"/>
          <w:color w:val="000000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52640C" w:rsidTr="0052640C">
        <w:tc>
          <w:tcPr>
            <w:tcW w:w="10790" w:type="dxa"/>
            <w:tcBorders>
              <w:bottom w:val="single" w:sz="4" w:space="0" w:color="auto"/>
            </w:tcBorders>
          </w:tcPr>
          <w:p w:rsidR="002A20D3" w:rsidRDefault="0052640C" w:rsidP="0052640C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  <w:sz w:val="28"/>
                <w:szCs w:val="28"/>
              </w:rPr>
            </w:pPr>
            <w:r w:rsidRPr="00727B75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Essential Question #1 - What do </w:t>
            </w:r>
            <w:r w:rsidR="002A20D3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our </w:t>
            </w:r>
            <w:r w:rsidRPr="00727B75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kids need? </w:t>
            </w:r>
          </w:p>
          <w:p w:rsidR="0052640C" w:rsidRPr="00727B75" w:rsidRDefault="0052640C" w:rsidP="0052640C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8"/>
                <w:szCs w:val="28"/>
              </w:rPr>
            </w:pPr>
            <w:r>
              <w:rPr>
                <w:rFonts w:ascii="Constantia" w:hAnsi="Constantia" w:cs="Arial"/>
                <w:color w:val="000000"/>
                <w:sz w:val="28"/>
                <w:szCs w:val="28"/>
              </w:rPr>
              <w:t>(Academic preparedness &amp; Social/Emotional</w:t>
            </w:r>
            <w:r w:rsidRPr="00727B75">
              <w:rPr>
                <w:rFonts w:ascii="Constantia" w:hAnsi="Constantia" w:cs="Arial"/>
                <w:color w:val="000000"/>
                <w:sz w:val="28"/>
                <w:szCs w:val="28"/>
              </w:rPr>
              <w:t xml:space="preserve"> Competence</w:t>
            </w:r>
            <w:r>
              <w:rPr>
                <w:rFonts w:ascii="Constantia" w:hAnsi="Constantia" w:cs="Arial"/>
                <w:color w:val="000000"/>
                <w:sz w:val="28"/>
                <w:szCs w:val="28"/>
              </w:rPr>
              <w:t>)</w:t>
            </w:r>
          </w:p>
          <w:p w:rsidR="0052640C" w:rsidRPr="002A20D3" w:rsidRDefault="0052640C" w:rsidP="0052640C">
            <w:pPr>
              <w:pStyle w:val="NormalWeb"/>
              <w:spacing w:before="0" w:beforeAutospacing="0" w:after="0" w:afterAutospacing="0"/>
              <w:ind w:left="1440"/>
              <w:rPr>
                <w:rFonts w:ascii="Constantia" w:hAnsi="Constantia"/>
                <w:sz w:val="26"/>
                <w:szCs w:val="26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What are the knowledge, skills, and habits students need to be “successful” at the next level…whatever that is…?</w:t>
            </w:r>
          </w:p>
        </w:tc>
      </w:tr>
      <w:tr w:rsidR="0052640C" w:rsidTr="0052640C">
        <w:tc>
          <w:tcPr>
            <w:tcW w:w="10790" w:type="dxa"/>
            <w:tcBorders>
              <w:top w:val="single" w:sz="4" w:space="0" w:color="auto"/>
            </w:tcBorders>
          </w:tcPr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</w:tc>
      </w:tr>
      <w:tr w:rsidR="0052640C" w:rsidTr="0052640C">
        <w:tc>
          <w:tcPr>
            <w:tcW w:w="10790" w:type="dxa"/>
            <w:tcBorders>
              <w:bottom w:val="single" w:sz="4" w:space="0" w:color="auto"/>
            </w:tcBorders>
          </w:tcPr>
          <w:p w:rsidR="0052640C" w:rsidRPr="00727B75" w:rsidRDefault="0052640C" w:rsidP="0052640C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8"/>
                <w:szCs w:val="28"/>
              </w:rPr>
            </w:pPr>
            <w:r w:rsidRPr="00727B75">
              <w:rPr>
                <w:rFonts w:ascii="Constantia" w:hAnsi="Constantia" w:cs="Arial"/>
                <w:color w:val="000000"/>
                <w:sz w:val="28"/>
                <w:szCs w:val="28"/>
              </w:rPr>
              <w:lastRenderedPageBreak/>
              <w:t>Essential Question #2 - What do we do?</w:t>
            </w:r>
          </w:p>
          <w:p w:rsidR="0052640C" w:rsidRPr="002A20D3" w:rsidRDefault="0052640C" w:rsidP="0052640C">
            <w:pPr>
              <w:pStyle w:val="NormalWeb"/>
              <w:spacing w:before="0" w:beforeAutospacing="0" w:after="0" w:afterAutospacing="0"/>
              <w:ind w:left="1440"/>
              <w:rPr>
                <w:rFonts w:ascii="Constantia" w:hAnsi="Constantia"/>
                <w:sz w:val="26"/>
                <w:szCs w:val="26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What activities, experiences, opportunities, instruction, or guidance are already in place support all students in acquiring the knowledge, skills, and habits you identified?</w:t>
            </w:r>
          </w:p>
        </w:tc>
      </w:tr>
      <w:tr w:rsidR="0052640C" w:rsidTr="0052640C">
        <w:tc>
          <w:tcPr>
            <w:tcW w:w="10790" w:type="dxa"/>
            <w:tcBorders>
              <w:top w:val="single" w:sz="4" w:space="0" w:color="auto"/>
            </w:tcBorders>
          </w:tcPr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2A20D3" w:rsidRDefault="002A20D3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</w:tc>
      </w:tr>
      <w:tr w:rsidR="0052640C" w:rsidTr="0052640C">
        <w:tc>
          <w:tcPr>
            <w:tcW w:w="10790" w:type="dxa"/>
            <w:tcBorders>
              <w:bottom w:val="single" w:sz="4" w:space="0" w:color="auto"/>
            </w:tcBorders>
          </w:tcPr>
          <w:p w:rsidR="0052640C" w:rsidRPr="00727B75" w:rsidRDefault="0052640C" w:rsidP="0052640C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8"/>
                <w:szCs w:val="28"/>
              </w:rPr>
            </w:pPr>
            <w:r w:rsidRPr="00727B75">
              <w:rPr>
                <w:rFonts w:ascii="Constantia" w:hAnsi="Constantia" w:cs="Arial"/>
                <w:color w:val="000000"/>
                <w:sz w:val="28"/>
                <w:szCs w:val="28"/>
              </w:rPr>
              <w:t>Essential Question #3 - What gets in the way?</w:t>
            </w:r>
          </w:p>
          <w:p w:rsidR="0052640C" w:rsidRPr="002A20D3" w:rsidRDefault="0052640C" w:rsidP="0052640C">
            <w:pPr>
              <w:pStyle w:val="NormalWeb"/>
              <w:spacing w:before="0" w:beforeAutospacing="0" w:after="0" w:afterAutospacing="0"/>
              <w:ind w:left="1440"/>
              <w:rPr>
                <w:rFonts w:ascii="Constantia" w:hAnsi="Constantia"/>
                <w:sz w:val="26"/>
                <w:szCs w:val="26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What are the barriers to doing activities, experiences, opportunities, instruction, or guidance that supports all students in acquiring the knowledge, skills, and habits you identified?</w:t>
            </w:r>
          </w:p>
        </w:tc>
      </w:tr>
      <w:tr w:rsidR="0052640C" w:rsidTr="0052640C">
        <w:tc>
          <w:tcPr>
            <w:tcW w:w="10790" w:type="dxa"/>
            <w:tcBorders>
              <w:top w:val="single" w:sz="4" w:space="0" w:color="auto"/>
            </w:tcBorders>
          </w:tcPr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  <w:bookmarkStart w:id="0" w:name="_GoBack"/>
            <w:bookmarkEnd w:id="0"/>
          </w:p>
        </w:tc>
      </w:tr>
      <w:tr w:rsidR="0052640C" w:rsidTr="0052640C">
        <w:tc>
          <w:tcPr>
            <w:tcW w:w="10790" w:type="dxa"/>
            <w:tcBorders>
              <w:bottom w:val="single" w:sz="4" w:space="0" w:color="auto"/>
            </w:tcBorders>
          </w:tcPr>
          <w:p w:rsidR="0052640C" w:rsidRPr="00727B75" w:rsidRDefault="0052640C" w:rsidP="0052640C">
            <w:pPr>
              <w:pStyle w:val="NormalWeb"/>
              <w:spacing w:before="0" w:beforeAutospacing="0" w:after="0" w:afterAutospacing="0"/>
              <w:rPr>
                <w:rFonts w:ascii="Constantia" w:hAnsi="Constantia"/>
                <w:sz w:val="28"/>
                <w:szCs w:val="28"/>
              </w:rPr>
            </w:pPr>
            <w:r w:rsidRPr="00727B75">
              <w:rPr>
                <w:rFonts w:ascii="Constantia" w:hAnsi="Constantia" w:cs="Arial"/>
                <w:color w:val="000000"/>
                <w:sz w:val="28"/>
                <w:szCs w:val="28"/>
              </w:rPr>
              <w:lastRenderedPageBreak/>
              <w:t>Essential Step - Problem Solving</w:t>
            </w:r>
          </w:p>
          <w:p w:rsidR="0052640C" w:rsidRPr="00727B75" w:rsidRDefault="0052640C" w:rsidP="0052640C">
            <w:pPr>
              <w:pStyle w:val="NormalWeb"/>
              <w:spacing w:before="0" w:beforeAutospacing="0" w:after="0" w:afterAutospacing="0"/>
              <w:ind w:left="720"/>
              <w:rPr>
                <w:rFonts w:ascii="Constantia" w:hAnsi="Constantia"/>
                <w:sz w:val="28"/>
                <w:szCs w:val="28"/>
              </w:rPr>
            </w:pPr>
            <w:r w:rsidRPr="00727B75">
              <w:rPr>
                <w:rFonts w:ascii="Constantia" w:hAnsi="Constantia" w:cs="Arial"/>
                <w:color w:val="000000"/>
                <w:sz w:val="28"/>
                <w:szCs w:val="28"/>
              </w:rPr>
              <w:t>What should/could be done to remove the barriers?</w:t>
            </w:r>
          </w:p>
          <w:p w:rsidR="0052640C" w:rsidRPr="002A20D3" w:rsidRDefault="0052640C" w:rsidP="0052640C">
            <w:pPr>
              <w:pStyle w:val="NormalWeb"/>
              <w:spacing w:before="0" w:beforeAutospacing="0" w:after="0" w:afterAutospacing="0"/>
              <w:ind w:left="1152"/>
              <w:rPr>
                <w:rFonts w:ascii="Constantia" w:hAnsi="Constantia"/>
                <w:sz w:val="26"/>
                <w:szCs w:val="26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Who? What people should/could be talked with in order to make decisions?</w:t>
            </w:r>
          </w:p>
          <w:p w:rsidR="0052640C" w:rsidRPr="002A20D3" w:rsidRDefault="0052640C" w:rsidP="0052640C">
            <w:pPr>
              <w:pStyle w:val="NormalWeb"/>
              <w:spacing w:before="0" w:beforeAutospacing="0" w:after="0" w:afterAutospacing="0"/>
              <w:ind w:left="1152"/>
              <w:rPr>
                <w:rFonts w:ascii="Constantia" w:hAnsi="Constantia"/>
                <w:sz w:val="26"/>
                <w:szCs w:val="26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What? What things should/could be done differently or added for support?</w:t>
            </w:r>
          </w:p>
          <w:p w:rsidR="0052640C" w:rsidRPr="002A20D3" w:rsidRDefault="0052640C" w:rsidP="0052640C">
            <w:pPr>
              <w:pStyle w:val="NormalWeb"/>
              <w:spacing w:before="0" w:beforeAutospacing="0" w:after="0" w:afterAutospacing="0"/>
              <w:ind w:left="1152"/>
              <w:rPr>
                <w:rFonts w:ascii="Constantia" w:hAnsi="Constantia"/>
                <w:sz w:val="26"/>
                <w:szCs w:val="26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When? What timeline should/could be used for the work?</w:t>
            </w:r>
          </w:p>
          <w:p w:rsidR="0052640C" w:rsidRPr="002A20D3" w:rsidRDefault="0052640C" w:rsidP="0052640C">
            <w:pPr>
              <w:pStyle w:val="NormalWeb"/>
              <w:spacing w:before="0" w:beforeAutospacing="0" w:after="0" w:afterAutospacing="0"/>
              <w:ind w:left="1152"/>
              <w:rPr>
                <w:rFonts w:ascii="Constantia" w:hAnsi="Constantia"/>
                <w:sz w:val="26"/>
                <w:szCs w:val="26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Where? Are there logistical pieces that could be maximized?</w:t>
            </w:r>
          </w:p>
          <w:p w:rsidR="0052640C" w:rsidRPr="0052640C" w:rsidRDefault="0052640C" w:rsidP="0052640C">
            <w:pPr>
              <w:ind w:left="1152"/>
              <w:rPr>
                <w:rFonts w:ascii="Constantia" w:hAnsi="Constantia"/>
                <w:sz w:val="28"/>
                <w:szCs w:val="28"/>
              </w:rPr>
            </w:pPr>
            <w:r w:rsidRPr="002A20D3">
              <w:rPr>
                <w:rFonts w:ascii="Constantia" w:hAnsi="Constantia" w:cs="Arial"/>
                <w:color w:val="000000"/>
                <w:sz w:val="26"/>
                <w:szCs w:val="26"/>
              </w:rPr>
              <w:t>How? How might we relocate/repurpose resources to be more effective?</w:t>
            </w:r>
          </w:p>
        </w:tc>
      </w:tr>
      <w:tr w:rsidR="0052640C" w:rsidTr="0052640C">
        <w:tc>
          <w:tcPr>
            <w:tcW w:w="10790" w:type="dxa"/>
            <w:tcBorders>
              <w:top w:val="single" w:sz="4" w:space="0" w:color="auto"/>
            </w:tcBorders>
          </w:tcPr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  <w:p w:rsidR="0052640C" w:rsidRDefault="0052640C" w:rsidP="00B662A5">
            <w:pPr>
              <w:pStyle w:val="NormalWeb"/>
              <w:spacing w:before="0" w:beforeAutospacing="0" w:after="0" w:afterAutospacing="0"/>
              <w:rPr>
                <w:rFonts w:ascii="Constantia" w:hAnsi="Constantia" w:cs="Arial"/>
                <w:color w:val="000000"/>
              </w:rPr>
            </w:pPr>
          </w:p>
        </w:tc>
      </w:tr>
    </w:tbl>
    <w:p w:rsidR="00B662A5" w:rsidRPr="008C7CA7" w:rsidRDefault="00B662A5" w:rsidP="00B662A5">
      <w:pPr>
        <w:pStyle w:val="NormalWeb"/>
        <w:spacing w:before="0" w:beforeAutospacing="0" w:after="0" w:afterAutospacing="0"/>
        <w:rPr>
          <w:rFonts w:ascii="Constantia" w:hAnsi="Constantia" w:cs="Arial"/>
          <w:color w:val="000000"/>
        </w:rPr>
      </w:pPr>
    </w:p>
    <w:p w:rsidR="00727B75" w:rsidRDefault="00727B75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7B75" w:rsidRDefault="00727B75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7B75" w:rsidRDefault="00727B75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7B75" w:rsidRDefault="00727B75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7B75" w:rsidRDefault="00727B75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727B75" w:rsidRDefault="00727B75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Default="0052640C" w:rsidP="00B662A5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52640C" w:rsidRPr="00727B75" w:rsidRDefault="0052640C">
      <w:pPr>
        <w:ind w:left="1440"/>
        <w:rPr>
          <w:rFonts w:ascii="Constantia" w:hAnsi="Constantia"/>
          <w:sz w:val="28"/>
          <w:szCs w:val="28"/>
        </w:rPr>
      </w:pPr>
    </w:p>
    <w:sectPr w:rsidR="0052640C" w:rsidRPr="00727B75" w:rsidSect="00B67C18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B92" w:rsidRDefault="00654B92" w:rsidP="00654B92">
      <w:r>
        <w:separator/>
      </w:r>
    </w:p>
  </w:endnote>
  <w:endnote w:type="continuationSeparator" w:id="0">
    <w:p w:rsidR="00654B92" w:rsidRDefault="00654B92" w:rsidP="00654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99215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B92" w:rsidRDefault="00654B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D7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54B92" w:rsidRDefault="00654B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B92" w:rsidRDefault="00654B92" w:rsidP="00654B92">
      <w:r>
        <w:separator/>
      </w:r>
    </w:p>
  </w:footnote>
  <w:footnote w:type="continuationSeparator" w:id="0">
    <w:p w:rsidR="00654B92" w:rsidRDefault="00654B92" w:rsidP="00654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374"/>
    <w:rsid w:val="00034B5B"/>
    <w:rsid w:val="00044D3C"/>
    <w:rsid w:val="00056875"/>
    <w:rsid w:val="00095491"/>
    <w:rsid w:val="000977B8"/>
    <w:rsid w:val="00104394"/>
    <w:rsid w:val="001139B4"/>
    <w:rsid w:val="00156622"/>
    <w:rsid w:val="00171E99"/>
    <w:rsid w:val="00173B02"/>
    <w:rsid w:val="0018013E"/>
    <w:rsid w:val="00180A66"/>
    <w:rsid w:val="001922DF"/>
    <w:rsid w:val="001B0B30"/>
    <w:rsid w:val="001B1527"/>
    <w:rsid w:val="001E634D"/>
    <w:rsid w:val="001F5DCF"/>
    <w:rsid w:val="001F702E"/>
    <w:rsid w:val="00240E51"/>
    <w:rsid w:val="00246A50"/>
    <w:rsid w:val="00254908"/>
    <w:rsid w:val="002632E2"/>
    <w:rsid w:val="00274EE5"/>
    <w:rsid w:val="00275A27"/>
    <w:rsid w:val="0028488B"/>
    <w:rsid w:val="00293451"/>
    <w:rsid w:val="00293B10"/>
    <w:rsid w:val="00293EAB"/>
    <w:rsid w:val="002A20D3"/>
    <w:rsid w:val="002B5F51"/>
    <w:rsid w:val="002E5F4B"/>
    <w:rsid w:val="002F1A53"/>
    <w:rsid w:val="0030270B"/>
    <w:rsid w:val="00305ED8"/>
    <w:rsid w:val="003277D0"/>
    <w:rsid w:val="00342C8E"/>
    <w:rsid w:val="0039200E"/>
    <w:rsid w:val="003C0D65"/>
    <w:rsid w:val="003E7DE7"/>
    <w:rsid w:val="00416894"/>
    <w:rsid w:val="00422DA1"/>
    <w:rsid w:val="0044560F"/>
    <w:rsid w:val="004A41D1"/>
    <w:rsid w:val="004A5145"/>
    <w:rsid w:val="004C1665"/>
    <w:rsid w:val="0051015D"/>
    <w:rsid w:val="0052640C"/>
    <w:rsid w:val="00576B01"/>
    <w:rsid w:val="00584115"/>
    <w:rsid w:val="005930B2"/>
    <w:rsid w:val="005A1EB8"/>
    <w:rsid w:val="005A3BFB"/>
    <w:rsid w:val="005A5CD3"/>
    <w:rsid w:val="005B1384"/>
    <w:rsid w:val="005B4A6F"/>
    <w:rsid w:val="006114EE"/>
    <w:rsid w:val="00614901"/>
    <w:rsid w:val="00621B83"/>
    <w:rsid w:val="006522F8"/>
    <w:rsid w:val="00654B92"/>
    <w:rsid w:val="00673974"/>
    <w:rsid w:val="006B0AE4"/>
    <w:rsid w:val="006B3D74"/>
    <w:rsid w:val="00727B75"/>
    <w:rsid w:val="00741374"/>
    <w:rsid w:val="007C0EBB"/>
    <w:rsid w:val="007C4EED"/>
    <w:rsid w:val="007E0252"/>
    <w:rsid w:val="008A14C2"/>
    <w:rsid w:val="008C7CA7"/>
    <w:rsid w:val="008D178A"/>
    <w:rsid w:val="00904953"/>
    <w:rsid w:val="00924192"/>
    <w:rsid w:val="009569A8"/>
    <w:rsid w:val="0096611E"/>
    <w:rsid w:val="00A21758"/>
    <w:rsid w:val="00A90C6D"/>
    <w:rsid w:val="00A913E1"/>
    <w:rsid w:val="00AB3635"/>
    <w:rsid w:val="00B11485"/>
    <w:rsid w:val="00B61BB3"/>
    <w:rsid w:val="00B63E41"/>
    <w:rsid w:val="00B662A5"/>
    <w:rsid w:val="00B67C18"/>
    <w:rsid w:val="00B9272A"/>
    <w:rsid w:val="00BE083F"/>
    <w:rsid w:val="00BE0A57"/>
    <w:rsid w:val="00BE4CBB"/>
    <w:rsid w:val="00C059DA"/>
    <w:rsid w:val="00C123E9"/>
    <w:rsid w:val="00C202BD"/>
    <w:rsid w:val="00C23B8A"/>
    <w:rsid w:val="00C23D8C"/>
    <w:rsid w:val="00C30247"/>
    <w:rsid w:val="00C33F9A"/>
    <w:rsid w:val="00C37572"/>
    <w:rsid w:val="00C409C0"/>
    <w:rsid w:val="00C44251"/>
    <w:rsid w:val="00C5520A"/>
    <w:rsid w:val="00C60883"/>
    <w:rsid w:val="00C65F8F"/>
    <w:rsid w:val="00C71677"/>
    <w:rsid w:val="00C73C50"/>
    <w:rsid w:val="00CA6BF9"/>
    <w:rsid w:val="00CB43C3"/>
    <w:rsid w:val="00CB7200"/>
    <w:rsid w:val="00CD04EC"/>
    <w:rsid w:val="00CE12BD"/>
    <w:rsid w:val="00CF0015"/>
    <w:rsid w:val="00CF4DD1"/>
    <w:rsid w:val="00D063BA"/>
    <w:rsid w:val="00D22487"/>
    <w:rsid w:val="00D36E71"/>
    <w:rsid w:val="00D41D40"/>
    <w:rsid w:val="00D73F66"/>
    <w:rsid w:val="00D9251E"/>
    <w:rsid w:val="00DB4E2C"/>
    <w:rsid w:val="00DD7295"/>
    <w:rsid w:val="00DF2CD8"/>
    <w:rsid w:val="00E2681A"/>
    <w:rsid w:val="00E62A13"/>
    <w:rsid w:val="00E83D77"/>
    <w:rsid w:val="00E9141F"/>
    <w:rsid w:val="00E96118"/>
    <w:rsid w:val="00F11FB9"/>
    <w:rsid w:val="00F3549B"/>
    <w:rsid w:val="00F36676"/>
    <w:rsid w:val="00F74133"/>
    <w:rsid w:val="00FE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22794-466D-48AD-857D-DE1DFDF8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3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662A5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0D3"/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0D3"/>
    <w:rPr>
      <w:rFonts w:ascii="Arial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54B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B9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4B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3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347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2561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Curtis, Gregg C.   DPI</dc:creator>
  <cp:keywords/>
  <dc:description/>
  <cp:lastModifiedBy>Curtis, Gregg C.   DPI</cp:lastModifiedBy>
  <cp:revision>6</cp:revision>
  <cp:lastPrinted>2016-12-04T17:59:00Z</cp:lastPrinted>
  <dcterms:created xsi:type="dcterms:W3CDTF">2016-12-04T17:09:00Z</dcterms:created>
  <dcterms:modified xsi:type="dcterms:W3CDTF">2016-12-04T18:07:00Z</dcterms:modified>
</cp:coreProperties>
</file>