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113E1" w14:textId="72C25C0A" w:rsidR="00C16FFB" w:rsidRPr="00AE2712" w:rsidRDefault="00C16FFB" w:rsidP="00C16FFB">
      <w:pPr>
        <w:jc w:val="center"/>
        <w:rPr>
          <w:rFonts w:ascii="Lato" w:hAnsi="Lato" w:cs="Arial-BoldMT"/>
          <w:b/>
          <w:bCs/>
          <w:sz w:val="32"/>
          <w:szCs w:val="32"/>
        </w:rPr>
      </w:pPr>
      <w:r w:rsidRPr="00AE2712">
        <w:rPr>
          <w:rFonts w:ascii="Lato" w:hAnsi="Lato" w:cs="Arial-BoldMT"/>
          <w:b/>
          <w:bCs/>
          <w:sz w:val="32"/>
          <w:szCs w:val="32"/>
        </w:rPr>
        <w:t xml:space="preserve">Forward Exam, ACT, </w:t>
      </w:r>
      <w:r w:rsidR="001E2156">
        <w:rPr>
          <w:rFonts w:ascii="Lato" w:hAnsi="Lato" w:cs="Arial-BoldMT"/>
          <w:b/>
          <w:bCs/>
          <w:sz w:val="32"/>
          <w:szCs w:val="32"/>
        </w:rPr>
        <w:t xml:space="preserve">Aspire, </w:t>
      </w:r>
      <w:r w:rsidRPr="00AE2712">
        <w:rPr>
          <w:rFonts w:ascii="Lato" w:hAnsi="Lato" w:cs="Arial-BoldMT"/>
          <w:b/>
          <w:bCs/>
          <w:sz w:val="32"/>
          <w:szCs w:val="32"/>
        </w:rPr>
        <w:t>and DLM 20</w:t>
      </w:r>
      <w:r w:rsidR="005E38C3">
        <w:rPr>
          <w:rFonts w:ascii="Lato" w:hAnsi="Lato" w:cs="Arial-BoldMT"/>
          <w:b/>
          <w:bCs/>
          <w:sz w:val="32"/>
          <w:szCs w:val="32"/>
        </w:rPr>
        <w:t>18-</w:t>
      </w:r>
      <w:r w:rsidRPr="00AE2712">
        <w:rPr>
          <w:rFonts w:ascii="Lato" w:hAnsi="Lato" w:cs="Arial-BoldMT"/>
          <w:b/>
          <w:bCs/>
          <w:sz w:val="32"/>
          <w:szCs w:val="32"/>
        </w:rPr>
        <w:t>1</w:t>
      </w:r>
      <w:r w:rsidR="00524E34">
        <w:rPr>
          <w:rFonts w:ascii="Lato" w:hAnsi="Lato" w:cs="Arial-BoldMT"/>
          <w:b/>
          <w:bCs/>
          <w:sz w:val="32"/>
          <w:szCs w:val="32"/>
        </w:rPr>
        <w:t>9</w:t>
      </w:r>
      <w:r w:rsidR="00AE2712" w:rsidRPr="00AE2712">
        <w:rPr>
          <w:rFonts w:ascii="Lato" w:hAnsi="Lato" w:cs="Arial-BoldMT"/>
          <w:b/>
          <w:bCs/>
          <w:sz w:val="32"/>
          <w:szCs w:val="32"/>
        </w:rPr>
        <w:t xml:space="preserve"> Assessment</w:t>
      </w:r>
      <w:r w:rsidRPr="00AE2712">
        <w:rPr>
          <w:rFonts w:ascii="Lato" w:hAnsi="Lato" w:cs="Arial-BoldMT"/>
          <w:b/>
          <w:bCs/>
          <w:sz w:val="32"/>
          <w:szCs w:val="32"/>
        </w:rPr>
        <w:t xml:space="preserve"> </w:t>
      </w:r>
      <w:r w:rsidR="005E38C3">
        <w:rPr>
          <w:rFonts w:ascii="Lato" w:hAnsi="Lato" w:cs="Arial-BoldMT"/>
          <w:b/>
          <w:bCs/>
          <w:sz w:val="32"/>
          <w:szCs w:val="32"/>
        </w:rPr>
        <w:br/>
      </w:r>
      <w:r w:rsidRPr="00AE2712">
        <w:rPr>
          <w:rFonts w:ascii="Lato" w:hAnsi="Lato" w:cs="Arial-BoldMT"/>
          <w:b/>
          <w:bCs/>
          <w:sz w:val="32"/>
          <w:szCs w:val="32"/>
        </w:rPr>
        <w:t>Data Release</w:t>
      </w:r>
    </w:p>
    <w:p w14:paraId="5C94573C" w14:textId="77777777" w:rsidR="009B218C" w:rsidRPr="00C8791F" w:rsidRDefault="00C16FFB" w:rsidP="00C8791F">
      <w:pPr>
        <w:jc w:val="center"/>
        <w:rPr>
          <w:rFonts w:ascii="Lato" w:hAnsi="Lato" w:cs="Arial-BoldMT"/>
          <w:b/>
          <w:bCs/>
          <w:i/>
          <w:sz w:val="28"/>
          <w:szCs w:val="28"/>
        </w:rPr>
      </w:pPr>
      <w:r w:rsidRPr="00AE2712">
        <w:rPr>
          <w:rFonts w:ascii="Lato" w:hAnsi="Lato" w:cs="Arial-BoldMT"/>
          <w:b/>
          <w:bCs/>
          <w:i/>
          <w:sz w:val="28"/>
          <w:szCs w:val="28"/>
        </w:rPr>
        <w:t>Suggested Talking Points for Schools and Districts</w:t>
      </w:r>
    </w:p>
    <w:p w14:paraId="41E370FD" w14:textId="77777777" w:rsidR="00C16FFB" w:rsidRPr="00FA4842" w:rsidRDefault="00C16FFB" w:rsidP="00C16FFB">
      <w:pPr>
        <w:pStyle w:val="Heading1"/>
        <w:rPr>
          <w:sz w:val="28"/>
          <w:szCs w:val="28"/>
          <w:lang w:bidi="he-IL"/>
        </w:rPr>
      </w:pPr>
      <w:r w:rsidRPr="00FA4842">
        <w:rPr>
          <w:sz w:val="28"/>
          <w:szCs w:val="28"/>
          <w:lang w:bidi="he-IL"/>
        </w:rPr>
        <w:t>Big Picture</w:t>
      </w:r>
      <w:r w:rsidR="00A6220B" w:rsidRPr="00FA4842">
        <w:rPr>
          <w:sz w:val="28"/>
          <w:szCs w:val="28"/>
          <w:lang w:bidi="he-IL"/>
        </w:rPr>
        <w:t xml:space="preserve"> Summary</w:t>
      </w:r>
    </w:p>
    <w:p w14:paraId="4D726BBB" w14:textId="25A23534" w:rsidR="00905DF1" w:rsidRPr="00905DF1" w:rsidRDefault="00905DF1" w:rsidP="00905DF1">
      <w:pPr>
        <w:pStyle w:val="BodyText"/>
        <w:numPr>
          <w:ilvl w:val="0"/>
          <w:numId w:val="1"/>
        </w:numPr>
        <w:spacing w:line="240" w:lineRule="auto"/>
        <w:ind w:right="270"/>
        <w:rPr>
          <w:rFonts w:ascii="Lato" w:hAnsi="Lato"/>
          <w:sz w:val="22"/>
          <w:szCs w:val="22"/>
        </w:rPr>
      </w:pPr>
      <w:r w:rsidRPr="00905DF1">
        <w:rPr>
          <w:rFonts w:ascii="Lato" w:hAnsi="Lato"/>
          <w:sz w:val="22"/>
          <w:szCs w:val="22"/>
        </w:rPr>
        <w:t xml:space="preserve">Annual state assessments help all stakeholders – </w:t>
      </w:r>
      <w:r w:rsidR="00244529">
        <w:rPr>
          <w:rFonts w:ascii="Lato" w:hAnsi="Lato"/>
          <w:sz w:val="22"/>
          <w:szCs w:val="22"/>
        </w:rPr>
        <w:t>parents, teachers, districts</w:t>
      </w:r>
      <w:bookmarkStart w:id="0" w:name="_GoBack"/>
      <w:bookmarkEnd w:id="0"/>
      <w:r w:rsidRPr="00905DF1">
        <w:rPr>
          <w:rFonts w:ascii="Lato" w:hAnsi="Lato"/>
          <w:sz w:val="22"/>
          <w:szCs w:val="22"/>
        </w:rPr>
        <w:t xml:space="preserve"> </w:t>
      </w:r>
      <w:r w:rsidR="005E38C3">
        <w:rPr>
          <w:rFonts w:ascii="Lato" w:hAnsi="Lato"/>
          <w:sz w:val="22"/>
          <w:szCs w:val="22"/>
        </w:rPr>
        <w:t xml:space="preserve">and </w:t>
      </w:r>
      <w:r w:rsidRPr="00905DF1">
        <w:rPr>
          <w:rFonts w:ascii="Lato" w:hAnsi="Lato"/>
          <w:sz w:val="22"/>
          <w:szCs w:val="22"/>
        </w:rPr>
        <w:t>school boards – see a clear picture of how well they are preparing students to be college and career ready. The W</w:t>
      </w:r>
      <w:r w:rsidR="00FA4842">
        <w:rPr>
          <w:rFonts w:ascii="Lato" w:hAnsi="Lato"/>
          <w:sz w:val="22"/>
          <w:szCs w:val="22"/>
        </w:rPr>
        <w:t xml:space="preserve">isconsin </w:t>
      </w:r>
      <w:r w:rsidRPr="00905DF1">
        <w:rPr>
          <w:rFonts w:ascii="Lato" w:hAnsi="Lato"/>
          <w:sz w:val="22"/>
          <w:szCs w:val="22"/>
        </w:rPr>
        <w:t>S</w:t>
      </w:r>
      <w:r w:rsidR="00FA4842">
        <w:rPr>
          <w:rFonts w:ascii="Lato" w:hAnsi="Lato"/>
          <w:sz w:val="22"/>
          <w:szCs w:val="22"/>
        </w:rPr>
        <w:t xml:space="preserve">tudent </w:t>
      </w:r>
      <w:r w:rsidRPr="00905DF1">
        <w:rPr>
          <w:rFonts w:ascii="Lato" w:hAnsi="Lato"/>
          <w:sz w:val="22"/>
          <w:szCs w:val="22"/>
        </w:rPr>
        <w:t>A</w:t>
      </w:r>
      <w:r w:rsidR="00FA4842">
        <w:rPr>
          <w:rFonts w:ascii="Lato" w:hAnsi="Lato"/>
          <w:sz w:val="22"/>
          <w:szCs w:val="22"/>
        </w:rPr>
        <w:t xml:space="preserve">ssessment </w:t>
      </w:r>
      <w:r w:rsidRPr="00905DF1">
        <w:rPr>
          <w:rFonts w:ascii="Lato" w:hAnsi="Lato"/>
          <w:sz w:val="22"/>
          <w:szCs w:val="22"/>
        </w:rPr>
        <w:t>S</w:t>
      </w:r>
      <w:r w:rsidR="00FA4842">
        <w:rPr>
          <w:rFonts w:ascii="Lato" w:hAnsi="Lato"/>
          <w:sz w:val="22"/>
          <w:szCs w:val="22"/>
        </w:rPr>
        <w:t>ystem (WSAS)</w:t>
      </w:r>
      <w:r w:rsidRPr="00905DF1">
        <w:rPr>
          <w:rFonts w:ascii="Lato" w:hAnsi="Lato"/>
          <w:sz w:val="22"/>
          <w:szCs w:val="22"/>
        </w:rPr>
        <w:t xml:space="preserve"> exams accounted for in this release of annual statewide assessment data include:</w:t>
      </w:r>
    </w:p>
    <w:p w14:paraId="399BCC43" w14:textId="77777777" w:rsidR="00905DF1" w:rsidRPr="00905DF1" w:rsidRDefault="00905DF1" w:rsidP="00A9105D">
      <w:pPr>
        <w:pStyle w:val="BodyText"/>
        <w:numPr>
          <w:ilvl w:val="1"/>
          <w:numId w:val="8"/>
        </w:numPr>
        <w:spacing w:line="240" w:lineRule="auto"/>
        <w:ind w:right="270"/>
        <w:rPr>
          <w:rFonts w:ascii="Lato" w:hAnsi="Lato"/>
          <w:sz w:val="22"/>
          <w:szCs w:val="22"/>
        </w:rPr>
      </w:pPr>
      <w:r w:rsidRPr="00905DF1">
        <w:rPr>
          <w:rFonts w:ascii="Lato" w:hAnsi="Lato"/>
          <w:sz w:val="22"/>
          <w:szCs w:val="22"/>
        </w:rPr>
        <w:t>Wisconsin Forward Exam:</w:t>
      </w:r>
    </w:p>
    <w:p w14:paraId="28F7EC53" w14:textId="77777777" w:rsidR="00905DF1" w:rsidRPr="00905DF1" w:rsidRDefault="00905DF1" w:rsidP="00A9105D">
      <w:pPr>
        <w:pStyle w:val="BodyText"/>
        <w:numPr>
          <w:ilvl w:val="2"/>
          <w:numId w:val="8"/>
        </w:numPr>
        <w:spacing w:line="240" w:lineRule="auto"/>
        <w:ind w:right="270"/>
        <w:rPr>
          <w:rFonts w:ascii="Lato" w:hAnsi="Lato"/>
          <w:sz w:val="22"/>
          <w:szCs w:val="22"/>
        </w:rPr>
      </w:pPr>
      <w:r w:rsidRPr="00905DF1">
        <w:rPr>
          <w:rFonts w:ascii="Lato" w:hAnsi="Lato"/>
          <w:sz w:val="22"/>
          <w:szCs w:val="22"/>
        </w:rPr>
        <w:t>Grades 3-8; measures performance in English language arts (ELA) and mathematics</w:t>
      </w:r>
    </w:p>
    <w:p w14:paraId="4A31F8A7" w14:textId="67070554" w:rsidR="00905DF1" w:rsidRPr="00905DF1" w:rsidRDefault="00905DF1" w:rsidP="00A9105D">
      <w:pPr>
        <w:pStyle w:val="BodyText"/>
        <w:numPr>
          <w:ilvl w:val="2"/>
          <w:numId w:val="8"/>
        </w:numPr>
        <w:spacing w:line="240" w:lineRule="auto"/>
        <w:ind w:right="270"/>
        <w:rPr>
          <w:rFonts w:ascii="Lato" w:hAnsi="Lato"/>
          <w:sz w:val="22"/>
          <w:szCs w:val="22"/>
        </w:rPr>
      </w:pPr>
      <w:r w:rsidRPr="00905DF1">
        <w:rPr>
          <w:rFonts w:ascii="Lato" w:hAnsi="Lato"/>
          <w:sz w:val="22"/>
          <w:szCs w:val="22"/>
        </w:rPr>
        <w:t xml:space="preserve">Grades 4 </w:t>
      </w:r>
      <w:r w:rsidR="005E38C3">
        <w:rPr>
          <w:rFonts w:ascii="Lato" w:hAnsi="Lato"/>
          <w:sz w:val="22"/>
          <w:szCs w:val="22"/>
        </w:rPr>
        <w:t>and 8; measures performance in s</w:t>
      </w:r>
      <w:r w:rsidRPr="00905DF1">
        <w:rPr>
          <w:rFonts w:ascii="Lato" w:hAnsi="Lato"/>
          <w:sz w:val="22"/>
          <w:szCs w:val="22"/>
        </w:rPr>
        <w:t>cience</w:t>
      </w:r>
    </w:p>
    <w:p w14:paraId="7A1D09F6" w14:textId="65684363" w:rsidR="00905DF1" w:rsidRPr="00905DF1" w:rsidRDefault="00905DF1" w:rsidP="00A9105D">
      <w:pPr>
        <w:pStyle w:val="BodyText"/>
        <w:numPr>
          <w:ilvl w:val="2"/>
          <w:numId w:val="8"/>
        </w:numPr>
        <w:spacing w:line="240" w:lineRule="auto"/>
        <w:ind w:right="270"/>
        <w:rPr>
          <w:rFonts w:ascii="Lato" w:hAnsi="Lato"/>
          <w:sz w:val="22"/>
          <w:szCs w:val="22"/>
        </w:rPr>
      </w:pPr>
      <w:r w:rsidRPr="00905DF1">
        <w:rPr>
          <w:rFonts w:ascii="Lato" w:hAnsi="Lato"/>
          <w:sz w:val="22"/>
          <w:szCs w:val="22"/>
        </w:rPr>
        <w:t>Grades 4, 8, a</w:t>
      </w:r>
      <w:r w:rsidR="005E38C3">
        <w:rPr>
          <w:rFonts w:ascii="Lato" w:hAnsi="Lato"/>
          <w:sz w:val="22"/>
          <w:szCs w:val="22"/>
        </w:rPr>
        <w:t>nd 10; measures performance in social s</w:t>
      </w:r>
      <w:r w:rsidRPr="00905DF1">
        <w:rPr>
          <w:rFonts w:ascii="Lato" w:hAnsi="Lato"/>
          <w:sz w:val="22"/>
          <w:szCs w:val="22"/>
        </w:rPr>
        <w:t>tudies</w:t>
      </w:r>
    </w:p>
    <w:p w14:paraId="471426C4" w14:textId="33025734" w:rsidR="00905DF1" w:rsidRDefault="00905DF1" w:rsidP="00A9105D">
      <w:pPr>
        <w:pStyle w:val="BodyText"/>
        <w:numPr>
          <w:ilvl w:val="1"/>
          <w:numId w:val="8"/>
        </w:numPr>
        <w:spacing w:line="240" w:lineRule="auto"/>
        <w:ind w:right="270"/>
        <w:rPr>
          <w:rFonts w:ascii="Lato" w:hAnsi="Lato"/>
          <w:sz w:val="22"/>
          <w:szCs w:val="22"/>
        </w:rPr>
      </w:pPr>
      <w:r w:rsidRPr="00905DF1">
        <w:rPr>
          <w:rFonts w:ascii="Lato" w:hAnsi="Lato"/>
          <w:sz w:val="22"/>
          <w:szCs w:val="22"/>
        </w:rPr>
        <w:t>ACT: grade 11; measures performance in ELA</w:t>
      </w:r>
      <w:r w:rsidR="00D21F75">
        <w:rPr>
          <w:rFonts w:ascii="Lato" w:hAnsi="Lato"/>
          <w:sz w:val="22"/>
          <w:szCs w:val="22"/>
        </w:rPr>
        <w:t xml:space="preserve"> (English, Reading, and Writing)</w:t>
      </w:r>
      <w:r w:rsidRPr="00905DF1">
        <w:rPr>
          <w:rFonts w:ascii="Lato" w:hAnsi="Lato"/>
          <w:sz w:val="22"/>
          <w:szCs w:val="22"/>
        </w:rPr>
        <w:t>, mathematics, and science (same college admissions exam taken by students nationwide)</w:t>
      </w:r>
    </w:p>
    <w:p w14:paraId="32ABABE8" w14:textId="2DF2CA12" w:rsidR="001E2156" w:rsidRPr="00905DF1" w:rsidRDefault="001E2156" w:rsidP="00A9105D">
      <w:pPr>
        <w:pStyle w:val="BodyText"/>
        <w:numPr>
          <w:ilvl w:val="1"/>
          <w:numId w:val="8"/>
        </w:numPr>
        <w:spacing w:line="240" w:lineRule="auto"/>
        <w:ind w:right="27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Aspire: grades 9 and 10; </w:t>
      </w:r>
      <w:r w:rsidRPr="00905DF1">
        <w:rPr>
          <w:rFonts w:ascii="Lato" w:hAnsi="Lato"/>
          <w:sz w:val="22"/>
          <w:szCs w:val="22"/>
        </w:rPr>
        <w:t>measures performance in ELA</w:t>
      </w:r>
      <w:r>
        <w:rPr>
          <w:rFonts w:ascii="Lato" w:hAnsi="Lato"/>
          <w:sz w:val="22"/>
          <w:szCs w:val="22"/>
        </w:rPr>
        <w:t xml:space="preserve"> (English, Reading, and Writing)</w:t>
      </w:r>
      <w:r w:rsidRPr="00905DF1">
        <w:rPr>
          <w:rFonts w:ascii="Lato" w:hAnsi="Lato"/>
          <w:sz w:val="22"/>
          <w:szCs w:val="22"/>
        </w:rPr>
        <w:t>, mathematics, and science</w:t>
      </w:r>
      <w:r>
        <w:rPr>
          <w:rFonts w:ascii="Lato" w:hAnsi="Lato"/>
          <w:sz w:val="22"/>
          <w:szCs w:val="22"/>
        </w:rPr>
        <w:t xml:space="preserve"> and </w:t>
      </w:r>
      <w:r w:rsidR="00884DD5">
        <w:rPr>
          <w:rFonts w:ascii="Lato" w:hAnsi="Lato"/>
          <w:sz w:val="22"/>
          <w:szCs w:val="22"/>
        </w:rPr>
        <w:t xml:space="preserve">is </w:t>
      </w:r>
      <w:r>
        <w:rPr>
          <w:rFonts w:ascii="Lato" w:hAnsi="Lato"/>
          <w:sz w:val="22"/>
          <w:szCs w:val="22"/>
        </w:rPr>
        <w:t>predictive of ACT performance</w:t>
      </w:r>
    </w:p>
    <w:p w14:paraId="6B20058B" w14:textId="43ED77B5" w:rsidR="00905DF1" w:rsidRPr="00892235" w:rsidRDefault="00905DF1" w:rsidP="00A9105D">
      <w:pPr>
        <w:pStyle w:val="BodyText"/>
        <w:numPr>
          <w:ilvl w:val="1"/>
          <w:numId w:val="8"/>
        </w:numPr>
        <w:spacing w:line="240" w:lineRule="auto"/>
        <w:ind w:right="270"/>
        <w:rPr>
          <w:rFonts w:ascii="Lato" w:hAnsi="Lato"/>
          <w:sz w:val="22"/>
          <w:szCs w:val="22"/>
        </w:rPr>
      </w:pPr>
      <w:r w:rsidRPr="00905DF1">
        <w:rPr>
          <w:rFonts w:ascii="Lato" w:hAnsi="Lato"/>
          <w:sz w:val="22"/>
          <w:szCs w:val="22"/>
        </w:rPr>
        <w:t>Dynamic L</w:t>
      </w:r>
      <w:r w:rsidR="001C2954">
        <w:rPr>
          <w:rFonts w:ascii="Lato" w:hAnsi="Lato"/>
          <w:sz w:val="22"/>
          <w:szCs w:val="22"/>
        </w:rPr>
        <w:t>earning Maps (DLM): grades 3-11 -</w:t>
      </w:r>
      <w:r w:rsidRPr="00905DF1">
        <w:rPr>
          <w:rFonts w:ascii="Lato" w:hAnsi="Lato"/>
          <w:sz w:val="22"/>
          <w:szCs w:val="22"/>
        </w:rPr>
        <w:t xml:space="preserve"> alternate assessment in ELA, mathematics, science, and social studies for students with severe cognitive disabilities</w:t>
      </w:r>
      <w:r w:rsidR="00366B3C">
        <w:rPr>
          <w:rFonts w:ascii="Lato" w:hAnsi="Lato"/>
          <w:sz w:val="22"/>
          <w:szCs w:val="22"/>
        </w:rPr>
        <w:br/>
      </w:r>
    </w:p>
    <w:p w14:paraId="46818541" w14:textId="1CFE536B" w:rsidR="00873BDD" w:rsidRDefault="00873BDD" w:rsidP="00A9105D">
      <w:pPr>
        <w:pStyle w:val="ListParagraph"/>
        <w:numPr>
          <w:ilvl w:val="0"/>
          <w:numId w:val="1"/>
        </w:numPr>
        <w:rPr>
          <w:rFonts w:ascii="Lato" w:hAnsi="Lato" w:cs="ArialMT"/>
          <w:sz w:val="22"/>
          <w:szCs w:val="22"/>
        </w:rPr>
      </w:pPr>
      <w:r>
        <w:rPr>
          <w:rFonts w:ascii="Lato" w:hAnsi="Lato" w:cs="ArialMT"/>
          <w:sz w:val="22"/>
          <w:szCs w:val="22"/>
        </w:rPr>
        <w:t>Forward Exam</w:t>
      </w:r>
      <w:r w:rsidR="00274F95">
        <w:rPr>
          <w:rFonts w:ascii="Lato" w:hAnsi="Lato" w:cs="ArialMT"/>
          <w:sz w:val="22"/>
          <w:szCs w:val="22"/>
        </w:rPr>
        <w:t xml:space="preserve"> and DLM</w:t>
      </w:r>
      <w:r>
        <w:rPr>
          <w:rFonts w:ascii="Lato" w:hAnsi="Lato" w:cs="ArialMT"/>
          <w:sz w:val="22"/>
          <w:szCs w:val="22"/>
        </w:rPr>
        <w:t>:</w:t>
      </w:r>
    </w:p>
    <w:p w14:paraId="71E1EDD8" w14:textId="39BF7EE5" w:rsidR="00873BDD" w:rsidRPr="00A47F6E" w:rsidRDefault="00873BDD" w:rsidP="00873BDD">
      <w:pPr>
        <w:pStyle w:val="BodyText"/>
        <w:numPr>
          <w:ilvl w:val="0"/>
          <w:numId w:val="22"/>
        </w:numPr>
        <w:spacing w:line="240" w:lineRule="auto"/>
        <w:ind w:right="270"/>
        <w:rPr>
          <w:rFonts w:ascii="Lato" w:hAnsi="Lato" w:cs="ArialMT"/>
          <w:sz w:val="22"/>
          <w:szCs w:val="22"/>
        </w:rPr>
      </w:pPr>
      <w:r w:rsidRPr="00873BDD">
        <w:rPr>
          <w:rFonts w:ascii="Lato" w:hAnsi="Lato"/>
          <w:sz w:val="22"/>
          <w:szCs w:val="22"/>
        </w:rPr>
        <w:t xml:space="preserve"> </w:t>
      </w:r>
      <w:r w:rsidRPr="00A47F6E">
        <w:rPr>
          <w:rFonts w:ascii="Lato" w:hAnsi="Lato"/>
          <w:sz w:val="22"/>
          <w:szCs w:val="22"/>
        </w:rPr>
        <w:t>A</w:t>
      </w:r>
      <w:r w:rsidR="00892235" w:rsidRPr="00A47F6E">
        <w:rPr>
          <w:rFonts w:ascii="Lato" w:hAnsi="Lato"/>
          <w:sz w:val="22"/>
          <w:szCs w:val="22"/>
        </w:rPr>
        <w:t>pproximate</w:t>
      </w:r>
      <w:r w:rsidRPr="00A47F6E">
        <w:rPr>
          <w:rFonts w:ascii="Lato" w:hAnsi="Lato"/>
          <w:sz w:val="22"/>
          <w:szCs w:val="22"/>
        </w:rPr>
        <w:t xml:space="preserve"> number of stude</w:t>
      </w:r>
      <w:r w:rsidR="00F543C6">
        <w:rPr>
          <w:rFonts w:ascii="Lato" w:hAnsi="Lato"/>
          <w:sz w:val="22"/>
          <w:szCs w:val="22"/>
        </w:rPr>
        <w:t>nts included</w:t>
      </w:r>
      <w:r w:rsidRPr="00A47F6E">
        <w:rPr>
          <w:rFonts w:ascii="Lato" w:hAnsi="Lato"/>
          <w:sz w:val="22"/>
          <w:szCs w:val="22"/>
        </w:rPr>
        <w:t>:</w:t>
      </w:r>
    </w:p>
    <w:p w14:paraId="6E39476E" w14:textId="2127D85B" w:rsidR="00F96968" w:rsidRDefault="002F5333" w:rsidP="00F96968">
      <w:pPr>
        <w:pStyle w:val="ListParagraph"/>
        <w:numPr>
          <w:ilvl w:val="0"/>
          <w:numId w:val="31"/>
        </w:numPr>
        <w:rPr>
          <w:rFonts w:ascii="Lato" w:hAnsi="Lato" w:cs="ArialMT"/>
          <w:sz w:val="22"/>
          <w:szCs w:val="22"/>
        </w:rPr>
      </w:pPr>
      <w:r w:rsidRPr="00A47F6E">
        <w:rPr>
          <w:rFonts w:ascii="Lato" w:hAnsi="Lato" w:cs="ArialMT"/>
          <w:sz w:val="22"/>
          <w:szCs w:val="22"/>
        </w:rPr>
        <w:t>371,000 public and 17,000</w:t>
      </w:r>
      <w:r w:rsidR="00A47F6E" w:rsidRPr="00A47F6E">
        <w:rPr>
          <w:rFonts w:ascii="Lato" w:hAnsi="Lato" w:cs="ArialMT"/>
          <w:sz w:val="22"/>
          <w:szCs w:val="22"/>
        </w:rPr>
        <w:t xml:space="preserve"> </w:t>
      </w:r>
      <w:r w:rsidR="00FA7134">
        <w:rPr>
          <w:rFonts w:ascii="Lato" w:hAnsi="Lato" w:cs="ArialMT"/>
          <w:sz w:val="22"/>
          <w:szCs w:val="22"/>
        </w:rPr>
        <w:t xml:space="preserve">choice </w:t>
      </w:r>
      <w:r w:rsidR="00C16FFB" w:rsidRPr="00A47F6E">
        <w:rPr>
          <w:rFonts w:ascii="Lato" w:hAnsi="Lato" w:cs="ArialMT"/>
          <w:sz w:val="22"/>
          <w:szCs w:val="22"/>
        </w:rPr>
        <w:t>statewide</w:t>
      </w:r>
      <w:r w:rsidR="00885542">
        <w:rPr>
          <w:rFonts w:ascii="Lato" w:hAnsi="Lato" w:cs="ArialMT"/>
          <w:sz w:val="22"/>
          <w:szCs w:val="22"/>
        </w:rPr>
        <w:t xml:space="preserve"> in grades 3-8 in ELA and</w:t>
      </w:r>
      <w:r w:rsidR="00F96968">
        <w:rPr>
          <w:rFonts w:ascii="Lato" w:hAnsi="Lato" w:cs="ArialMT"/>
          <w:sz w:val="22"/>
          <w:szCs w:val="22"/>
        </w:rPr>
        <w:t xml:space="preserve"> mathematics</w:t>
      </w:r>
      <w:r w:rsidR="00FE0A7F" w:rsidRPr="00F96968">
        <w:rPr>
          <w:rFonts w:ascii="Lato" w:hAnsi="Lato" w:cs="ArialMT"/>
          <w:sz w:val="22"/>
          <w:szCs w:val="22"/>
        </w:rPr>
        <w:t xml:space="preserve"> </w:t>
      </w:r>
    </w:p>
    <w:p w14:paraId="33EC87A9" w14:textId="0F5E95DA" w:rsidR="00633800" w:rsidRPr="00F96968" w:rsidRDefault="00F96968" w:rsidP="00F96968">
      <w:pPr>
        <w:pStyle w:val="ListParagraph"/>
        <w:numPr>
          <w:ilvl w:val="0"/>
          <w:numId w:val="31"/>
        </w:numPr>
        <w:rPr>
          <w:rFonts w:ascii="Lato" w:hAnsi="Lato" w:cs="ArialMT"/>
          <w:sz w:val="22"/>
          <w:szCs w:val="22"/>
        </w:rPr>
      </w:pPr>
      <w:r>
        <w:rPr>
          <w:rFonts w:ascii="Lato" w:hAnsi="Lato" w:cs="ArialMT"/>
          <w:sz w:val="22"/>
          <w:szCs w:val="22"/>
        </w:rPr>
        <w:t>123,5</w:t>
      </w:r>
      <w:r w:rsidR="00F53F9D" w:rsidRPr="00F96968">
        <w:rPr>
          <w:rFonts w:ascii="Lato" w:hAnsi="Lato" w:cs="ArialMT"/>
          <w:sz w:val="22"/>
          <w:szCs w:val="22"/>
        </w:rPr>
        <w:t>00 public and 5</w:t>
      </w:r>
      <w:r w:rsidR="009C7222" w:rsidRPr="00F96968">
        <w:rPr>
          <w:rFonts w:ascii="Lato" w:hAnsi="Lato" w:cs="ArialMT"/>
          <w:sz w:val="22"/>
          <w:szCs w:val="22"/>
        </w:rPr>
        <w:t>,</w:t>
      </w:r>
      <w:r w:rsidR="00F4707E">
        <w:rPr>
          <w:rFonts w:ascii="Lato" w:hAnsi="Lato" w:cs="ArialMT"/>
          <w:sz w:val="22"/>
          <w:szCs w:val="22"/>
        </w:rPr>
        <w:t>4</w:t>
      </w:r>
      <w:r w:rsidR="00DB4C72">
        <w:rPr>
          <w:rFonts w:ascii="Lato" w:hAnsi="Lato" w:cs="ArialMT"/>
          <w:sz w:val="22"/>
          <w:szCs w:val="22"/>
        </w:rPr>
        <w:t xml:space="preserve"> </w:t>
      </w:r>
      <w:r w:rsidR="00FA7134" w:rsidRPr="00F96968">
        <w:rPr>
          <w:rFonts w:ascii="Lato" w:hAnsi="Lato" w:cs="ArialMT"/>
          <w:sz w:val="22"/>
          <w:szCs w:val="22"/>
        </w:rPr>
        <w:t>00 choice</w:t>
      </w:r>
      <w:r w:rsidR="00B36240" w:rsidRPr="00F96968">
        <w:rPr>
          <w:rFonts w:ascii="Lato" w:hAnsi="Lato" w:cs="ArialMT"/>
          <w:sz w:val="22"/>
          <w:szCs w:val="22"/>
        </w:rPr>
        <w:t xml:space="preserve"> </w:t>
      </w:r>
      <w:r w:rsidR="009B218C" w:rsidRPr="00F96968">
        <w:rPr>
          <w:rFonts w:ascii="Lato" w:hAnsi="Lato" w:cs="ArialMT"/>
          <w:sz w:val="22"/>
          <w:szCs w:val="22"/>
        </w:rPr>
        <w:t xml:space="preserve">in </w:t>
      </w:r>
      <w:r w:rsidR="00873BDD" w:rsidRPr="00F96968">
        <w:rPr>
          <w:rFonts w:ascii="Lato" w:hAnsi="Lato" w:cs="ArialMT"/>
          <w:sz w:val="22"/>
          <w:szCs w:val="22"/>
        </w:rPr>
        <w:t>grades 4 and 8 in science</w:t>
      </w:r>
      <w:r w:rsidR="00FE0A7F" w:rsidRPr="00F96968">
        <w:rPr>
          <w:rFonts w:ascii="Lato" w:hAnsi="Lato" w:cs="ArialMT"/>
          <w:sz w:val="22"/>
          <w:szCs w:val="22"/>
        </w:rPr>
        <w:t xml:space="preserve"> </w:t>
      </w:r>
    </w:p>
    <w:p w14:paraId="0249B436" w14:textId="51F8532B" w:rsidR="00B36240" w:rsidRPr="00633800" w:rsidRDefault="00F96968" w:rsidP="00633800">
      <w:pPr>
        <w:pStyle w:val="ListParagraph"/>
        <w:numPr>
          <w:ilvl w:val="0"/>
          <w:numId w:val="31"/>
        </w:numPr>
        <w:rPr>
          <w:rFonts w:ascii="Lato" w:hAnsi="Lato" w:cs="ArialMT"/>
          <w:sz w:val="22"/>
          <w:szCs w:val="22"/>
        </w:rPr>
      </w:pPr>
      <w:r>
        <w:rPr>
          <w:rFonts w:ascii="Lato" w:hAnsi="Lato" w:cs="ArialMT"/>
          <w:sz w:val="22"/>
          <w:szCs w:val="22"/>
        </w:rPr>
        <w:t>188</w:t>
      </w:r>
      <w:r w:rsidR="00884DD5" w:rsidRPr="00633800">
        <w:rPr>
          <w:rFonts w:ascii="Lato" w:hAnsi="Lato" w:cs="ArialMT"/>
          <w:sz w:val="22"/>
          <w:szCs w:val="22"/>
        </w:rPr>
        <w:t>,000 public and 7,6</w:t>
      </w:r>
      <w:r w:rsidR="00633800" w:rsidRPr="00633800">
        <w:rPr>
          <w:rFonts w:ascii="Lato" w:hAnsi="Lato" w:cs="ArialMT"/>
          <w:sz w:val="22"/>
          <w:szCs w:val="22"/>
        </w:rPr>
        <w:t>00 choice</w:t>
      </w:r>
      <w:r w:rsidR="00B36240" w:rsidRPr="00633800">
        <w:rPr>
          <w:rFonts w:ascii="Lato" w:hAnsi="Lato" w:cs="ArialMT"/>
          <w:sz w:val="22"/>
          <w:szCs w:val="22"/>
        </w:rPr>
        <w:t xml:space="preserve"> </w:t>
      </w:r>
      <w:r w:rsidR="009B218C" w:rsidRPr="00633800">
        <w:rPr>
          <w:rFonts w:ascii="Lato" w:hAnsi="Lato" w:cs="ArialMT"/>
          <w:sz w:val="22"/>
          <w:szCs w:val="22"/>
        </w:rPr>
        <w:t xml:space="preserve">in </w:t>
      </w:r>
      <w:r w:rsidR="00FE0A7F" w:rsidRPr="00633800">
        <w:rPr>
          <w:rFonts w:ascii="Lato" w:hAnsi="Lato" w:cs="ArialMT"/>
          <w:sz w:val="22"/>
          <w:szCs w:val="22"/>
        </w:rPr>
        <w:t>grades 4, 8 and 10 in social studies</w:t>
      </w:r>
    </w:p>
    <w:p w14:paraId="609327C0" w14:textId="5828AEAA" w:rsidR="003F15F5" w:rsidRPr="00A47F6E" w:rsidRDefault="003F15F5" w:rsidP="00873BDD">
      <w:pPr>
        <w:pStyle w:val="ListParagraph"/>
        <w:numPr>
          <w:ilvl w:val="0"/>
          <w:numId w:val="22"/>
        </w:numPr>
        <w:rPr>
          <w:rFonts w:ascii="Lato" w:hAnsi="Lato" w:cs="ArialMT"/>
          <w:sz w:val="22"/>
          <w:szCs w:val="22"/>
        </w:rPr>
      </w:pPr>
      <w:r w:rsidRPr="00A47F6E">
        <w:rPr>
          <w:rFonts w:ascii="Lato" w:hAnsi="Lato" w:cs="ArialMT"/>
          <w:sz w:val="22"/>
          <w:szCs w:val="22"/>
        </w:rPr>
        <w:t xml:space="preserve">As an online assessment, the Forward Exam incorporates </w:t>
      </w:r>
      <w:r w:rsidR="00C16FFB" w:rsidRPr="00A47F6E">
        <w:rPr>
          <w:rFonts w:ascii="Lato" w:hAnsi="Lato" w:cs="ArialMT"/>
          <w:sz w:val="22"/>
          <w:szCs w:val="22"/>
        </w:rPr>
        <w:t>innovative and better ways for students to</w:t>
      </w:r>
      <w:r w:rsidRPr="00A47F6E">
        <w:rPr>
          <w:rFonts w:ascii="Lato" w:hAnsi="Lato" w:cs="ArialMT"/>
          <w:sz w:val="22"/>
          <w:szCs w:val="22"/>
        </w:rPr>
        <w:t xml:space="preserve"> </w:t>
      </w:r>
      <w:r w:rsidR="00C16FFB" w:rsidRPr="00A47F6E">
        <w:rPr>
          <w:rFonts w:ascii="Lato" w:hAnsi="Lato" w:cs="ArialMT"/>
          <w:sz w:val="22"/>
          <w:szCs w:val="22"/>
        </w:rPr>
        <w:t>demonstrate what they know and can do (technology enhanced items)</w:t>
      </w:r>
      <w:r w:rsidR="00366B3C">
        <w:rPr>
          <w:rFonts w:ascii="Lato" w:hAnsi="Lato" w:cs="ArialMT"/>
          <w:sz w:val="22"/>
          <w:szCs w:val="22"/>
        </w:rPr>
        <w:br/>
      </w:r>
    </w:p>
    <w:p w14:paraId="0868CA12" w14:textId="77777777" w:rsidR="00873BDD" w:rsidRPr="00A47F6E" w:rsidRDefault="0017385A" w:rsidP="009111DA">
      <w:pPr>
        <w:numPr>
          <w:ilvl w:val="0"/>
          <w:numId w:val="2"/>
        </w:numPr>
        <w:rPr>
          <w:rFonts w:ascii="Lato" w:hAnsi="Lato" w:cs="ArialMT"/>
          <w:sz w:val="22"/>
          <w:szCs w:val="22"/>
        </w:rPr>
      </w:pPr>
      <w:r w:rsidRPr="00A47F6E">
        <w:rPr>
          <w:rFonts w:ascii="Lato" w:hAnsi="Lato" w:cs="ArialMT"/>
          <w:sz w:val="22"/>
          <w:szCs w:val="22"/>
        </w:rPr>
        <w:t>The ACT assessment</w:t>
      </w:r>
      <w:r w:rsidR="00873BDD" w:rsidRPr="00A47F6E">
        <w:rPr>
          <w:rFonts w:ascii="Lato" w:hAnsi="Lato" w:cs="ArialMT"/>
          <w:sz w:val="22"/>
          <w:szCs w:val="22"/>
        </w:rPr>
        <w:t>:</w:t>
      </w:r>
    </w:p>
    <w:p w14:paraId="371CCC70" w14:textId="73D95325" w:rsidR="009111DA" w:rsidRPr="00C773E1" w:rsidRDefault="00873BDD" w:rsidP="00225D77">
      <w:pPr>
        <w:pStyle w:val="ListParagraph"/>
        <w:numPr>
          <w:ilvl w:val="0"/>
          <w:numId w:val="23"/>
        </w:numPr>
        <w:rPr>
          <w:rFonts w:ascii="Lato" w:hAnsi="Lato" w:cs="ArialMT"/>
          <w:sz w:val="22"/>
          <w:szCs w:val="22"/>
        </w:rPr>
      </w:pPr>
      <w:r w:rsidRPr="00A47F6E">
        <w:rPr>
          <w:rFonts w:ascii="Lato" w:hAnsi="Lato" w:cs="ArialMT"/>
          <w:sz w:val="22"/>
          <w:szCs w:val="22"/>
        </w:rPr>
        <w:t xml:space="preserve"> A</w:t>
      </w:r>
      <w:r w:rsidR="00FE0A7F" w:rsidRPr="00A47F6E">
        <w:rPr>
          <w:rFonts w:ascii="Lato" w:hAnsi="Lato" w:cs="ArialMT"/>
          <w:sz w:val="22"/>
          <w:szCs w:val="22"/>
        </w:rPr>
        <w:t xml:space="preserve">pproximately </w:t>
      </w:r>
      <w:r w:rsidR="009111DA" w:rsidRPr="00A47F6E">
        <w:rPr>
          <w:rFonts w:ascii="Lato" w:hAnsi="Lato" w:cs="ArialMT"/>
          <w:sz w:val="22"/>
          <w:szCs w:val="22"/>
        </w:rPr>
        <w:t>6</w:t>
      </w:r>
      <w:r w:rsidR="00E30194" w:rsidRPr="00A47F6E">
        <w:rPr>
          <w:rFonts w:ascii="Lato" w:hAnsi="Lato" w:cs="ArialMT"/>
          <w:sz w:val="22"/>
          <w:szCs w:val="22"/>
        </w:rPr>
        <w:t>5</w:t>
      </w:r>
      <w:r w:rsidR="009111DA" w:rsidRPr="00A47F6E">
        <w:rPr>
          <w:rFonts w:ascii="Lato" w:hAnsi="Lato" w:cs="ArialMT"/>
          <w:sz w:val="22"/>
          <w:szCs w:val="22"/>
        </w:rPr>
        <w:t>,</w:t>
      </w:r>
      <w:r w:rsidR="00766785" w:rsidRPr="00A47F6E">
        <w:rPr>
          <w:rFonts w:ascii="Lato" w:hAnsi="Lato" w:cs="ArialMT"/>
          <w:sz w:val="22"/>
          <w:szCs w:val="22"/>
        </w:rPr>
        <w:t>3</w:t>
      </w:r>
      <w:r w:rsidR="009111DA" w:rsidRPr="00A47F6E">
        <w:rPr>
          <w:rFonts w:ascii="Lato" w:hAnsi="Lato" w:cs="ArialMT"/>
          <w:sz w:val="22"/>
          <w:szCs w:val="22"/>
        </w:rPr>
        <w:t xml:space="preserve">00 </w:t>
      </w:r>
      <w:r w:rsidR="00D21F75" w:rsidRPr="00A47F6E">
        <w:rPr>
          <w:rFonts w:ascii="Lato" w:hAnsi="Lato" w:cs="ArialMT"/>
          <w:sz w:val="22"/>
          <w:szCs w:val="22"/>
        </w:rPr>
        <w:t xml:space="preserve">grade 11 </w:t>
      </w:r>
      <w:r w:rsidR="009111DA" w:rsidRPr="00A47F6E">
        <w:rPr>
          <w:rFonts w:ascii="Lato" w:hAnsi="Lato" w:cs="ArialMT"/>
          <w:sz w:val="22"/>
          <w:szCs w:val="22"/>
        </w:rPr>
        <w:t>students</w:t>
      </w:r>
      <w:r w:rsidR="00766785" w:rsidRPr="00A47F6E">
        <w:rPr>
          <w:rFonts w:ascii="Lato" w:hAnsi="Lato" w:cs="ArialMT"/>
          <w:sz w:val="22"/>
          <w:szCs w:val="22"/>
        </w:rPr>
        <w:t xml:space="preserve"> (</w:t>
      </w:r>
      <w:r w:rsidR="00E30194" w:rsidRPr="00A47F6E">
        <w:rPr>
          <w:rFonts w:ascii="Lato" w:hAnsi="Lato" w:cs="ArialMT"/>
          <w:sz w:val="22"/>
          <w:szCs w:val="22"/>
        </w:rPr>
        <w:t>63,500</w:t>
      </w:r>
      <w:r w:rsidR="00766785" w:rsidRPr="00A47F6E">
        <w:rPr>
          <w:rFonts w:ascii="Lato" w:hAnsi="Lato" w:cs="ArialMT"/>
          <w:sz w:val="22"/>
          <w:szCs w:val="22"/>
        </w:rPr>
        <w:t xml:space="preserve"> </w:t>
      </w:r>
      <w:r w:rsidR="00E30194" w:rsidRPr="00A47F6E">
        <w:rPr>
          <w:rFonts w:ascii="Lato" w:hAnsi="Lato" w:cs="ArialMT"/>
          <w:sz w:val="22"/>
          <w:szCs w:val="22"/>
        </w:rPr>
        <w:t>public and 1,8</w:t>
      </w:r>
      <w:r w:rsidR="00766785" w:rsidRPr="00A47F6E">
        <w:rPr>
          <w:rFonts w:ascii="Lato" w:hAnsi="Lato" w:cs="ArialMT"/>
          <w:sz w:val="22"/>
          <w:szCs w:val="22"/>
        </w:rPr>
        <w:t>0</w:t>
      </w:r>
      <w:r w:rsidR="002A2371" w:rsidRPr="00A47F6E">
        <w:rPr>
          <w:rFonts w:ascii="Lato" w:hAnsi="Lato" w:cs="ArialMT"/>
          <w:sz w:val="22"/>
          <w:szCs w:val="22"/>
        </w:rPr>
        <w:t>0 choice)</w:t>
      </w:r>
      <w:r w:rsidR="009111DA" w:rsidRPr="00A47F6E">
        <w:rPr>
          <w:rFonts w:ascii="Lato" w:hAnsi="Lato" w:cs="ArialMT"/>
          <w:sz w:val="22"/>
          <w:szCs w:val="22"/>
        </w:rPr>
        <w:t xml:space="preserve"> </w:t>
      </w:r>
      <w:r w:rsidRPr="00A47F6E">
        <w:rPr>
          <w:rFonts w:ascii="Lato" w:hAnsi="Lato" w:cs="ArialMT"/>
          <w:sz w:val="22"/>
          <w:szCs w:val="22"/>
        </w:rPr>
        <w:t>were</w:t>
      </w:r>
      <w:r w:rsidRPr="00C773E1">
        <w:rPr>
          <w:rFonts w:ascii="Lato" w:hAnsi="Lato" w:cs="ArialMT"/>
          <w:sz w:val="22"/>
          <w:szCs w:val="22"/>
        </w:rPr>
        <w:t xml:space="preserve"> included </w:t>
      </w:r>
      <w:r w:rsidR="009111DA" w:rsidRPr="00C773E1">
        <w:rPr>
          <w:rFonts w:ascii="Lato" w:hAnsi="Lato" w:cs="ArialMT"/>
          <w:sz w:val="22"/>
          <w:szCs w:val="22"/>
        </w:rPr>
        <w:t xml:space="preserve">in </w:t>
      </w:r>
      <w:r w:rsidR="00D21F75" w:rsidRPr="00C773E1">
        <w:rPr>
          <w:rFonts w:ascii="Lato" w:hAnsi="Lato" w:cs="ArialMT"/>
          <w:sz w:val="22"/>
          <w:szCs w:val="22"/>
        </w:rPr>
        <w:t xml:space="preserve">the ACT </w:t>
      </w:r>
      <w:r w:rsidR="00C773E1">
        <w:rPr>
          <w:rFonts w:ascii="Lato" w:hAnsi="Lato" w:cs="ArialMT"/>
          <w:sz w:val="22"/>
          <w:szCs w:val="22"/>
        </w:rPr>
        <w:t xml:space="preserve">(paper &amp; pencil </w:t>
      </w:r>
      <w:r w:rsidR="00C773E1" w:rsidRPr="00C773E1">
        <w:rPr>
          <w:rFonts w:ascii="Lato" w:hAnsi="Lato" w:cs="ArialMT"/>
          <w:sz w:val="22"/>
          <w:szCs w:val="22"/>
        </w:rPr>
        <w:t>assessment</w:t>
      </w:r>
      <w:r w:rsidR="009111DA" w:rsidRPr="00C773E1">
        <w:rPr>
          <w:rFonts w:ascii="Lato" w:hAnsi="Lato" w:cs="ArialMT"/>
          <w:sz w:val="22"/>
          <w:szCs w:val="22"/>
        </w:rPr>
        <w:t>.</w:t>
      </w:r>
      <w:r w:rsidR="00C773E1">
        <w:rPr>
          <w:rFonts w:ascii="Lato" w:hAnsi="Lato" w:cs="ArialMT"/>
          <w:sz w:val="22"/>
          <w:szCs w:val="22"/>
        </w:rPr>
        <w:t>)</w:t>
      </w:r>
      <w:r w:rsidR="009111DA" w:rsidRPr="00C773E1">
        <w:rPr>
          <w:rFonts w:ascii="Lato" w:hAnsi="Lato" w:cs="ArialMT"/>
          <w:sz w:val="22"/>
          <w:szCs w:val="22"/>
        </w:rPr>
        <w:t xml:space="preserve"> </w:t>
      </w:r>
      <w:r w:rsidR="00BF418B" w:rsidRPr="00C773E1">
        <w:rPr>
          <w:rFonts w:ascii="Lato" w:hAnsi="Lato" w:cs="ArialMT"/>
          <w:sz w:val="22"/>
          <w:szCs w:val="22"/>
        </w:rPr>
        <w:t>Students can choose to send their scores to up to four coll</w:t>
      </w:r>
      <w:r w:rsidR="005E38C3">
        <w:rPr>
          <w:rFonts w:ascii="Lato" w:hAnsi="Lato" w:cs="ArialMT"/>
          <w:sz w:val="22"/>
          <w:szCs w:val="22"/>
        </w:rPr>
        <w:t>eges or universities at no cost.</w:t>
      </w:r>
    </w:p>
    <w:p w14:paraId="16B6BDF0" w14:textId="07F2158D" w:rsidR="005E38C3" w:rsidRDefault="009111DA" w:rsidP="00633800">
      <w:pPr>
        <w:pStyle w:val="ListParagraph"/>
        <w:numPr>
          <w:ilvl w:val="0"/>
          <w:numId w:val="23"/>
        </w:numPr>
        <w:rPr>
          <w:rFonts w:ascii="Lato" w:hAnsi="Lato" w:cs="ArialMT"/>
          <w:color w:val="auto"/>
          <w:sz w:val="22"/>
          <w:szCs w:val="22"/>
        </w:rPr>
      </w:pPr>
      <w:r w:rsidRPr="000A2DC4">
        <w:rPr>
          <w:rFonts w:ascii="Lato" w:hAnsi="Lato" w:cs="ArialMT"/>
          <w:sz w:val="22"/>
          <w:szCs w:val="22"/>
        </w:rPr>
        <w:t xml:space="preserve">By offering the ACT statewide, all grade 11 students, regardless of family circumstances, have the opportunity to participate in a college readiness assessment. </w:t>
      </w:r>
      <w:r w:rsidR="00543C21" w:rsidRPr="000A2DC4">
        <w:rPr>
          <w:rFonts w:ascii="Lato" w:hAnsi="Lato" w:cs="ArialMT"/>
          <w:sz w:val="22"/>
          <w:szCs w:val="22"/>
        </w:rPr>
        <w:t>B</w:t>
      </w:r>
      <w:r w:rsidR="007A4751" w:rsidRPr="000A2DC4">
        <w:rPr>
          <w:rFonts w:ascii="Lato" w:hAnsi="Lato" w:cs="ArialMT"/>
          <w:sz w:val="22"/>
          <w:szCs w:val="22"/>
        </w:rPr>
        <w:t xml:space="preserve">efore the ACT was a required statewide assessment, only about 72% of WI graduates took the ACT. </w:t>
      </w:r>
      <w:r w:rsidRPr="000A2DC4">
        <w:rPr>
          <w:rFonts w:ascii="Lato" w:hAnsi="Lato" w:cs="ArialMT"/>
          <w:sz w:val="22"/>
          <w:szCs w:val="22"/>
        </w:rPr>
        <w:t xml:space="preserve">Evidence shows that when college readiness tests like ACT are given universally with fees paid for by the state or district, </w:t>
      </w:r>
      <w:r w:rsidR="003E631F" w:rsidRPr="000A2DC4">
        <w:rPr>
          <w:rFonts w:ascii="Lato" w:hAnsi="Lato" w:cs="ArialMT"/>
          <w:sz w:val="22"/>
          <w:szCs w:val="22"/>
        </w:rPr>
        <w:t>students who would not have taken the college readiness assessments may discover that</w:t>
      </w:r>
      <w:r w:rsidR="007C577D" w:rsidRPr="000A2DC4">
        <w:rPr>
          <w:rFonts w:ascii="Lato" w:hAnsi="Lato" w:cs="ArialMT"/>
          <w:sz w:val="22"/>
          <w:szCs w:val="22"/>
        </w:rPr>
        <w:t xml:space="preserve"> </w:t>
      </w:r>
      <w:r w:rsidRPr="000A2DC4">
        <w:rPr>
          <w:rFonts w:ascii="Lato" w:hAnsi="Lato" w:cs="ArialMT"/>
          <w:sz w:val="22"/>
          <w:szCs w:val="22"/>
        </w:rPr>
        <w:t>they are “college material.” Improving access to post-secondary</w:t>
      </w:r>
      <w:r w:rsidR="007A4751" w:rsidRPr="000A2DC4">
        <w:rPr>
          <w:rFonts w:ascii="Lato" w:hAnsi="Lato" w:cs="ArialMT"/>
          <w:sz w:val="22"/>
          <w:szCs w:val="22"/>
        </w:rPr>
        <w:t xml:space="preserve"> readiness</w:t>
      </w:r>
      <w:r w:rsidRPr="000A2DC4">
        <w:rPr>
          <w:rFonts w:ascii="Lato" w:hAnsi="Lato" w:cs="ArialMT"/>
          <w:sz w:val="22"/>
          <w:szCs w:val="22"/>
        </w:rPr>
        <w:t xml:space="preserve"> options is one way to </w:t>
      </w:r>
      <w:r w:rsidR="007A4751" w:rsidRPr="000A2DC4">
        <w:rPr>
          <w:rFonts w:ascii="Lato" w:hAnsi="Lato" w:cs="ArialMT"/>
          <w:sz w:val="22"/>
          <w:szCs w:val="22"/>
        </w:rPr>
        <w:t>close our achievement gap a</w:t>
      </w:r>
      <w:r w:rsidR="00AE1030" w:rsidRPr="000A2DC4">
        <w:rPr>
          <w:rFonts w:ascii="Lato" w:hAnsi="Lato" w:cs="ArialMT"/>
          <w:sz w:val="22"/>
          <w:szCs w:val="22"/>
        </w:rPr>
        <w:t xml:space="preserve">nd address </w:t>
      </w:r>
      <w:r w:rsidR="00AE1030" w:rsidRPr="00834526">
        <w:rPr>
          <w:rFonts w:ascii="Lato" w:hAnsi="Lato" w:cs="ArialMT"/>
          <w:color w:val="auto"/>
          <w:sz w:val="22"/>
          <w:szCs w:val="22"/>
        </w:rPr>
        <w:t>equity issues in W</w:t>
      </w:r>
      <w:r w:rsidR="009C7222" w:rsidRPr="00834526">
        <w:rPr>
          <w:rFonts w:ascii="Lato" w:hAnsi="Lato" w:cs="ArialMT"/>
          <w:color w:val="auto"/>
          <w:sz w:val="22"/>
          <w:szCs w:val="22"/>
        </w:rPr>
        <w:t>isconsin</w:t>
      </w:r>
      <w:r w:rsidR="00AE1030" w:rsidRPr="00834526">
        <w:rPr>
          <w:rFonts w:ascii="Lato" w:hAnsi="Lato" w:cs="ArialMT"/>
          <w:color w:val="auto"/>
          <w:sz w:val="22"/>
          <w:szCs w:val="22"/>
        </w:rPr>
        <w:t>.</w:t>
      </w:r>
    </w:p>
    <w:p w14:paraId="231C18DA" w14:textId="77D99F54" w:rsidR="00633800" w:rsidRPr="005E38C3" w:rsidRDefault="005E38C3" w:rsidP="005E38C3">
      <w:pPr>
        <w:widowControl/>
        <w:autoSpaceDE/>
        <w:autoSpaceDN/>
        <w:adjustRightInd/>
        <w:rPr>
          <w:rFonts w:ascii="Lato" w:hAnsi="Lato" w:cs="ArialMT"/>
          <w:color w:val="auto"/>
          <w:sz w:val="22"/>
          <w:szCs w:val="22"/>
        </w:rPr>
      </w:pPr>
      <w:r>
        <w:rPr>
          <w:rFonts w:ascii="Lato" w:hAnsi="Lato" w:cs="ArialMT"/>
          <w:color w:val="auto"/>
          <w:sz w:val="22"/>
          <w:szCs w:val="22"/>
        </w:rPr>
        <w:br w:type="page"/>
      </w:r>
    </w:p>
    <w:p w14:paraId="144EF391" w14:textId="6E73CAF6" w:rsidR="000F3B01" w:rsidRPr="00633800" w:rsidRDefault="00633800" w:rsidP="00633800">
      <w:pPr>
        <w:pStyle w:val="ListParagraph"/>
        <w:numPr>
          <w:ilvl w:val="0"/>
          <w:numId w:val="30"/>
        </w:numPr>
        <w:rPr>
          <w:rFonts w:ascii="Lato" w:hAnsi="Lato" w:cs="ArialMT"/>
          <w:color w:val="auto"/>
          <w:sz w:val="22"/>
          <w:szCs w:val="22"/>
        </w:rPr>
      </w:pPr>
      <w:r>
        <w:rPr>
          <w:rFonts w:ascii="Lato" w:hAnsi="Lato" w:cs="ArialMT"/>
          <w:color w:val="auto"/>
          <w:sz w:val="22"/>
          <w:szCs w:val="22"/>
        </w:rPr>
        <w:lastRenderedPageBreak/>
        <w:t xml:space="preserve">        </w:t>
      </w:r>
      <w:r w:rsidR="000F3B01" w:rsidRPr="00633800">
        <w:rPr>
          <w:rFonts w:ascii="Lato" w:hAnsi="Lato" w:cs="ArialMT"/>
          <w:color w:val="auto"/>
          <w:sz w:val="22"/>
          <w:szCs w:val="22"/>
        </w:rPr>
        <w:t xml:space="preserve">The </w:t>
      </w:r>
      <w:r w:rsidR="00683BD5" w:rsidRPr="00633800">
        <w:rPr>
          <w:rFonts w:ascii="Lato" w:hAnsi="Lato" w:cs="ArialMT"/>
          <w:color w:val="auto"/>
          <w:sz w:val="22"/>
          <w:szCs w:val="22"/>
        </w:rPr>
        <w:t xml:space="preserve">Aspire </w:t>
      </w:r>
      <w:r w:rsidR="000F3B01" w:rsidRPr="00633800">
        <w:rPr>
          <w:rFonts w:ascii="Lato" w:hAnsi="Lato" w:cs="ArialMT"/>
          <w:color w:val="auto"/>
          <w:sz w:val="22"/>
          <w:szCs w:val="22"/>
        </w:rPr>
        <w:t>assessment:</w:t>
      </w:r>
    </w:p>
    <w:p w14:paraId="5404EF05" w14:textId="19D95FBF" w:rsidR="00E30194" w:rsidRPr="00885542" w:rsidRDefault="00A47F6E" w:rsidP="00885542">
      <w:pPr>
        <w:pStyle w:val="ListParagraph"/>
        <w:numPr>
          <w:ilvl w:val="0"/>
          <w:numId w:val="32"/>
        </w:numPr>
        <w:rPr>
          <w:rFonts w:ascii="Lato" w:hAnsi="Lato" w:cs="ArialMT"/>
          <w:sz w:val="22"/>
          <w:szCs w:val="22"/>
        </w:rPr>
      </w:pPr>
      <w:r w:rsidRPr="00885542">
        <w:rPr>
          <w:rFonts w:ascii="Lato" w:hAnsi="Lato" w:cs="ArialMT"/>
          <w:sz w:val="22"/>
          <w:szCs w:val="22"/>
        </w:rPr>
        <w:t>Approximately</w:t>
      </w:r>
      <w:r w:rsidR="00E30194" w:rsidRPr="00885542">
        <w:rPr>
          <w:rFonts w:ascii="Lato" w:hAnsi="Lato" w:cs="ArialMT"/>
          <w:sz w:val="22"/>
          <w:szCs w:val="22"/>
        </w:rPr>
        <w:t xml:space="preserve"> </w:t>
      </w:r>
      <w:r w:rsidR="00A26307" w:rsidRPr="00885542">
        <w:rPr>
          <w:rFonts w:ascii="Lato" w:hAnsi="Lato" w:cs="ArialMT"/>
          <w:sz w:val="22"/>
          <w:szCs w:val="22"/>
        </w:rPr>
        <w:t>136,000 grade</w:t>
      </w:r>
      <w:r w:rsidR="005E1CD3" w:rsidRPr="00885542">
        <w:rPr>
          <w:rFonts w:ascii="Lato" w:hAnsi="Lato" w:cs="ArialMT"/>
          <w:sz w:val="22"/>
          <w:szCs w:val="22"/>
        </w:rPr>
        <w:t xml:space="preserve"> </w:t>
      </w:r>
      <w:r w:rsidR="00BC7710" w:rsidRPr="00885542">
        <w:rPr>
          <w:rFonts w:ascii="Lato" w:hAnsi="Lato" w:cs="ArialMT"/>
          <w:sz w:val="22"/>
          <w:szCs w:val="22"/>
        </w:rPr>
        <w:t xml:space="preserve">9 and </w:t>
      </w:r>
      <w:r w:rsidR="005E1CD3" w:rsidRPr="00885542">
        <w:rPr>
          <w:rFonts w:ascii="Lato" w:hAnsi="Lato" w:cs="ArialMT"/>
          <w:sz w:val="22"/>
          <w:szCs w:val="22"/>
        </w:rPr>
        <w:t>10 students (</w:t>
      </w:r>
      <w:r w:rsidR="00E30194" w:rsidRPr="00885542">
        <w:rPr>
          <w:rFonts w:ascii="Lato" w:hAnsi="Lato" w:cs="ArialMT"/>
          <w:sz w:val="22"/>
          <w:szCs w:val="22"/>
        </w:rPr>
        <w:t>131,000</w:t>
      </w:r>
      <w:r w:rsidR="005E1CD3" w:rsidRPr="00885542">
        <w:rPr>
          <w:rFonts w:ascii="Lato" w:hAnsi="Lato" w:cs="ArialMT"/>
          <w:sz w:val="22"/>
          <w:szCs w:val="22"/>
        </w:rPr>
        <w:t xml:space="preserve"> public and </w:t>
      </w:r>
      <w:r w:rsidR="00E30194" w:rsidRPr="00885542">
        <w:rPr>
          <w:rFonts w:ascii="Lato" w:hAnsi="Lato" w:cs="ArialMT"/>
          <w:sz w:val="22"/>
          <w:szCs w:val="22"/>
        </w:rPr>
        <w:t xml:space="preserve">5,000 </w:t>
      </w:r>
      <w:r w:rsidR="005E1CD3" w:rsidRPr="00885542">
        <w:rPr>
          <w:rFonts w:ascii="Lato" w:hAnsi="Lato" w:cs="ArialMT"/>
          <w:sz w:val="22"/>
          <w:szCs w:val="22"/>
        </w:rPr>
        <w:t xml:space="preserve">choice) were included in the Aspire. </w:t>
      </w:r>
    </w:p>
    <w:p w14:paraId="19FA0DC4" w14:textId="77777777" w:rsidR="00057654" w:rsidRPr="00885542" w:rsidRDefault="006322C3" w:rsidP="00885542">
      <w:pPr>
        <w:pStyle w:val="ListParagraph"/>
        <w:numPr>
          <w:ilvl w:val="0"/>
          <w:numId w:val="32"/>
        </w:numPr>
        <w:rPr>
          <w:rFonts w:ascii="Lato" w:hAnsi="Lato" w:cs="ArialMT"/>
          <w:sz w:val="22"/>
          <w:szCs w:val="22"/>
        </w:rPr>
      </w:pPr>
      <w:r w:rsidRPr="00885542">
        <w:rPr>
          <w:rFonts w:ascii="Lato" w:hAnsi="Lato" w:cs="Calibri"/>
          <w:sz w:val="22"/>
          <w:szCs w:val="22"/>
          <w:shd w:val="clear" w:color="auto" w:fill="FFFFFF"/>
        </w:rPr>
        <w:t>ACT Aspire</w:t>
      </w:r>
      <w:r w:rsidRPr="00885542">
        <w:rPr>
          <w:rFonts w:ascii="Lato" w:hAnsi="Lato" w:cs="Calibri"/>
          <w:b/>
          <w:bCs/>
          <w:sz w:val="22"/>
          <w:szCs w:val="22"/>
          <w:shd w:val="clear" w:color="auto" w:fill="FFFFFF"/>
        </w:rPr>
        <w:t>™</w:t>
      </w:r>
      <w:r w:rsidRPr="00885542">
        <w:rPr>
          <w:rFonts w:ascii="Lato" w:hAnsi="Lato" w:cs="Calibri"/>
          <w:sz w:val="22"/>
          <w:szCs w:val="22"/>
          <w:shd w:val="clear" w:color="auto" w:fill="FFFFFF"/>
        </w:rPr>
        <w:t xml:space="preserve"> Early High School scores are reported on a 3-digit scale. These scores predict future ACT scores.</w:t>
      </w:r>
    </w:p>
    <w:p w14:paraId="2C2D7C30" w14:textId="7357B929" w:rsidR="00683BD5" w:rsidRPr="00885542" w:rsidRDefault="00057654" w:rsidP="00885542">
      <w:pPr>
        <w:pStyle w:val="ListParagraph"/>
        <w:numPr>
          <w:ilvl w:val="0"/>
          <w:numId w:val="32"/>
        </w:numPr>
        <w:rPr>
          <w:rFonts w:ascii="Lato" w:hAnsi="Lato" w:cs="ArialMT"/>
          <w:sz w:val="22"/>
          <w:szCs w:val="22"/>
        </w:rPr>
      </w:pPr>
      <w:r w:rsidRPr="00885542">
        <w:rPr>
          <w:rFonts w:ascii="Lato" w:hAnsi="Lato" w:cs="Calibri"/>
          <w:sz w:val="22"/>
          <w:szCs w:val="22"/>
          <w:shd w:val="clear" w:color="auto" w:fill="FFFFFF"/>
        </w:rPr>
        <w:t>ACT Aspire</w:t>
      </w:r>
      <w:r w:rsidRPr="00885542">
        <w:rPr>
          <w:rFonts w:ascii="Lato" w:hAnsi="Lato" w:cs="Calibri"/>
          <w:b/>
          <w:bCs/>
          <w:sz w:val="22"/>
          <w:szCs w:val="22"/>
          <w:shd w:val="clear" w:color="auto" w:fill="FFFFFF"/>
        </w:rPr>
        <w:t>™</w:t>
      </w:r>
      <w:r w:rsidRPr="00885542">
        <w:rPr>
          <w:rFonts w:ascii="Lato" w:hAnsi="Lato" w:cs="Calibri"/>
          <w:sz w:val="22"/>
          <w:szCs w:val="22"/>
          <w:shd w:val="clear" w:color="auto" w:fill="FFFFFF"/>
        </w:rPr>
        <w:t xml:space="preserve"> Early High School</w:t>
      </w:r>
      <w:r w:rsidRPr="00885542">
        <w:rPr>
          <w:rFonts w:ascii="Lato" w:hAnsi="Lato" w:cs="ArialMT"/>
          <w:color w:val="auto"/>
          <w:sz w:val="22"/>
          <w:szCs w:val="22"/>
        </w:rPr>
        <w:t xml:space="preserve"> c</w:t>
      </w:r>
      <w:r w:rsidR="00683BD5" w:rsidRPr="00885542">
        <w:rPr>
          <w:rFonts w:ascii="Lato" w:hAnsi="Lato" w:cs="ArialMT"/>
          <w:color w:val="auto"/>
          <w:sz w:val="22"/>
          <w:szCs w:val="22"/>
        </w:rPr>
        <w:t xml:space="preserve">ut scores are available at: </w:t>
      </w:r>
      <w:hyperlink r:id="rId7" w:history="1">
        <w:r w:rsidRPr="00885542">
          <w:rPr>
            <w:rStyle w:val="Hyperlink"/>
            <w:rFonts w:ascii="Lato" w:hAnsi="Lato" w:cs="ArialMT"/>
            <w:sz w:val="22"/>
            <w:szCs w:val="22"/>
          </w:rPr>
          <w:t>ACT Aspire Dashboards About the Data</w:t>
        </w:r>
      </w:hyperlink>
      <w:r w:rsidR="005E38C3">
        <w:rPr>
          <w:rStyle w:val="Hyperlink"/>
          <w:rFonts w:ascii="Lato" w:hAnsi="Lato" w:cs="ArialMT"/>
          <w:sz w:val="22"/>
          <w:szCs w:val="22"/>
        </w:rPr>
        <w:t>.</w:t>
      </w:r>
    </w:p>
    <w:p w14:paraId="680219BF" w14:textId="77777777" w:rsidR="00D21F75" w:rsidRPr="00190BB5" w:rsidRDefault="00C07916" w:rsidP="008172CD">
      <w:pPr>
        <w:numPr>
          <w:ilvl w:val="0"/>
          <w:numId w:val="2"/>
        </w:numPr>
        <w:rPr>
          <w:rFonts w:ascii="Lato" w:hAnsi="Lato" w:cs="ArialMT"/>
          <w:sz w:val="22"/>
          <w:szCs w:val="22"/>
        </w:rPr>
      </w:pPr>
      <w:r w:rsidRPr="00190BB5">
        <w:rPr>
          <w:rFonts w:ascii="Lato" w:hAnsi="Lato" w:cs="ArialMT"/>
          <w:sz w:val="22"/>
          <w:szCs w:val="22"/>
        </w:rPr>
        <w:t xml:space="preserve">The </w:t>
      </w:r>
      <w:r w:rsidR="00AE1030" w:rsidRPr="00190BB5">
        <w:rPr>
          <w:rFonts w:ascii="Lato" w:hAnsi="Lato" w:cs="ArialMT"/>
          <w:sz w:val="22"/>
          <w:szCs w:val="22"/>
        </w:rPr>
        <w:t>Dynamic Learning Maps</w:t>
      </w:r>
      <w:r w:rsidRPr="00190BB5">
        <w:rPr>
          <w:rFonts w:ascii="Lato" w:hAnsi="Lato" w:cs="ArialMT"/>
          <w:sz w:val="22"/>
          <w:szCs w:val="22"/>
        </w:rPr>
        <w:t xml:space="preserve"> (DLM) assessment</w:t>
      </w:r>
      <w:r w:rsidR="00D21F75" w:rsidRPr="00190BB5">
        <w:rPr>
          <w:rFonts w:ascii="Lato" w:hAnsi="Lato" w:cs="ArialMT"/>
          <w:sz w:val="22"/>
          <w:szCs w:val="22"/>
        </w:rPr>
        <w:t>:</w:t>
      </w:r>
    </w:p>
    <w:p w14:paraId="33A2AC33" w14:textId="5037ECE1" w:rsidR="00C07916" w:rsidRPr="00905DF1" w:rsidRDefault="00C07916" w:rsidP="00D21F75">
      <w:pPr>
        <w:numPr>
          <w:ilvl w:val="0"/>
          <w:numId w:val="17"/>
        </w:numPr>
        <w:rPr>
          <w:rFonts w:ascii="Lato" w:hAnsi="Lato" w:cs="ArialMT"/>
          <w:sz w:val="22"/>
          <w:szCs w:val="22"/>
        </w:rPr>
      </w:pPr>
      <w:r w:rsidRPr="00190BB5">
        <w:rPr>
          <w:rFonts w:ascii="Lato" w:hAnsi="Lato" w:cs="ArialMT"/>
          <w:sz w:val="22"/>
          <w:szCs w:val="22"/>
        </w:rPr>
        <w:t xml:space="preserve"> </w:t>
      </w:r>
      <w:r w:rsidR="00D21F75" w:rsidRPr="00A47F6E">
        <w:rPr>
          <w:rFonts w:ascii="Lato" w:hAnsi="Lato" w:cs="ArialMT"/>
          <w:sz w:val="22"/>
          <w:szCs w:val="22"/>
        </w:rPr>
        <w:t>A</w:t>
      </w:r>
      <w:r w:rsidRPr="00A47F6E">
        <w:rPr>
          <w:rFonts w:ascii="Lato" w:hAnsi="Lato" w:cs="ArialMT"/>
          <w:sz w:val="22"/>
          <w:szCs w:val="22"/>
        </w:rPr>
        <w:t xml:space="preserve">pproximately </w:t>
      </w:r>
      <w:r w:rsidR="00333F5A">
        <w:rPr>
          <w:rFonts w:ascii="Lato" w:hAnsi="Lato" w:cs="ArialMT"/>
          <w:sz w:val="22"/>
          <w:szCs w:val="22"/>
        </w:rPr>
        <w:t>5,40</w:t>
      </w:r>
      <w:r w:rsidR="00E30194" w:rsidRPr="00A47F6E">
        <w:rPr>
          <w:rFonts w:ascii="Lato" w:hAnsi="Lato" w:cs="ArialMT"/>
          <w:sz w:val="22"/>
          <w:szCs w:val="22"/>
        </w:rPr>
        <w:t>0</w:t>
      </w:r>
      <w:r w:rsidRPr="00A47F6E">
        <w:rPr>
          <w:rFonts w:ascii="Lato" w:hAnsi="Lato" w:cs="ArialMT"/>
          <w:sz w:val="22"/>
          <w:szCs w:val="22"/>
        </w:rPr>
        <w:t xml:space="preserve"> students </w:t>
      </w:r>
      <w:r w:rsidR="00D21F75" w:rsidRPr="00A47F6E">
        <w:rPr>
          <w:rFonts w:ascii="Lato" w:hAnsi="Lato" w:cs="ArialMT"/>
          <w:sz w:val="22"/>
          <w:szCs w:val="22"/>
        </w:rPr>
        <w:t>were</w:t>
      </w:r>
      <w:r w:rsidR="00D21F75" w:rsidRPr="00190BB5">
        <w:rPr>
          <w:rFonts w:ascii="Lato" w:hAnsi="Lato" w:cs="ArialMT"/>
          <w:sz w:val="22"/>
          <w:szCs w:val="22"/>
        </w:rPr>
        <w:t xml:space="preserve"> included </w:t>
      </w:r>
      <w:r w:rsidRPr="00190BB5">
        <w:rPr>
          <w:rFonts w:ascii="Lato" w:hAnsi="Lato" w:cs="ArialMT"/>
          <w:sz w:val="22"/>
          <w:szCs w:val="22"/>
        </w:rPr>
        <w:t>statewide in grades</w:t>
      </w:r>
      <w:r w:rsidRPr="00905DF1">
        <w:rPr>
          <w:rFonts w:ascii="Lato" w:hAnsi="Lato" w:cs="ArialMT"/>
          <w:sz w:val="22"/>
          <w:szCs w:val="22"/>
        </w:rPr>
        <w:t xml:space="preserve"> 3-</w:t>
      </w:r>
      <w:r w:rsidR="00A06A99">
        <w:rPr>
          <w:rFonts w:ascii="Lato" w:hAnsi="Lato" w:cs="ArialMT"/>
          <w:sz w:val="22"/>
          <w:szCs w:val="22"/>
        </w:rPr>
        <w:t xml:space="preserve"> 11 </w:t>
      </w:r>
      <w:r w:rsidR="003416A5" w:rsidRPr="00905DF1">
        <w:rPr>
          <w:rFonts w:ascii="Lato" w:hAnsi="Lato" w:cs="ArialMT"/>
          <w:sz w:val="22"/>
          <w:szCs w:val="22"/>
        </w:rPr>
        <w:t xml:space="preserve">ELA and mathematics, grades 4, </w:t>
      </w:r>
      <w:r w:rsidRPr="00905DF1">
        <w:rPr>
          <w:rFonts w:ascii="Lato" w:hAnsi="Lato" w:cs="ArialMT"/>
          <w:sz w:val="22"/>
          <w:szCs w:val="22"/>
        </w:rPr>
        <w:t>8</w:t>
      </w:r>
      <w:r w:rsidR="003416A5" w:rsidRPr="00905DF1">
        <w:rPr>
          <w:rFonts w:ascii="Lato" w:hAnsi="Lato" w:cs="ArialMT"/>
          <w:sz w:val="22"/>
          <w:szCs w:val="22"/>
        </w:rPr>
        <w:t xml:space="preserve">, </w:t>
      </w:r>
      <w:r w:rsidR="00E30194">
        <w:rPr>
          <w:rFonts w:ascii="Lato" w:hAnsi="Lato" w:cs="ArialMT"/>
          <w:sz w:val="22"/>
          <w:szCs w:val="22"/>
        </w:rPr>
        <w:t>9, 10 and</w:t>
      </w:r>
      <w:r w:rsidR="003416A5" w:rsidRPr="00905DF1">
        <w:rPr>
          <w:rFonts w:ascii="Lato" w:hAnsi="Lato" w:cs="ArialMT"/>
          <w:sz w:val="22"/>
          <w:szCs w:val="22"/>
        </w:rPr>
        <w:t xml:space="preserve"> 11</w:t>
      </w:r>
      <w:r w:rsidRPr="00905DF1">
        <w:rPr>
          <w:rFonts w:ascii="Lato" w:hAnsi="Lato" w:cs="ArialMT"/>
          <w:sz w:val="22"/>
          <w:szCs w:val="22"/>
        </w:rPr>
        <w:t xml:space="preserve"> in science, and grades 4, 8, and 10 in social studies</w:t>
      </w:r>
      <w:r w:rsidR="00D21F75">
        <w:rPr>
          <w:rFonts w:ascii="Lato" w:hAnsi="Lato" w:cs="ArialMT"/>
          <w:sz w:val="22"/>
          <w:szCs w:val="22"/>
        </w:rPr>
        <w:t xml:space="preserve"> DLM assessments</w:t>
      </w:r>
      <w:r w:rsidRPr="00905DF1">
        <w:rPr>
          <w:rFonts w:ascii="Lato" w:hAnsi="Lato" w:cs="ArialMT"/>
          <w:sz w:val="22"/>
          <w:szCs w:val="22"/>
        </w:rPr>
        <w:t xml:space="preserve">. </w:t>
      </w:r>
    </w:p>
    <w:p w14:paraId="02B4E504" w14:textId="77777777" w:rsidR="00C07916" w:rsidRPr="00905DF1" w:rsidRDefault="00FB154B" w:rsidP="00A9105D">
      <w:pPr>
        <w:numPr>
          <w:ilvl w:val="0"/>
          <w:numId w:val="17"/>
        </w:numPr>
        <w:rPr>
          <w:rFonts w:ascii="Lato" w:hAnsi="Lato" w:cs="ArialMT"/>
          <w:sz w:val="22"/>
          <w:szCs w:val="22"/>
        </w:rPr>
      </w:pPr>
      <w:r w:rsidRPr="00905DF1">
        <w:rPr>
          <w:rFonts w:ascii="Lato" w:hAnsi="Lato" w:cs="ArialMT"/>
          <w:sz w:val="22"/>
          <w:szCs w:val="22"/>
        </w:rPr>
        <w:t>W</w:t>
      </w:r>
      <w:r w:rsidR="009C7222">
        <w:rPr>
          <w:rFonts w:ascii="Lato" w:hAnsi="Lato" w:cs="ArialMT"/>
          <w:sz w:val="22"/>
          <w:szCs w:val="22"/>
        </w:rPr>
        <w:t>isconsin’</w:t>
      </w:r>
      <w:r w:rsidRPr="00905DF1">
        <w:rPr>
          <w:rFonts w:ascii="Lato" w:hAnsi="Lato" w:cs="ArialMT"/>
          <w:sz w:val="22"/>
          <w:szCs w:val="22"/>
        </w:rPr>
        <w:t xml:space="preserve">s alternate assessment </w:t>
      </w:r>
      <w:r w:rsidR="0036261C">
        <w:rPr>
          <w:rFonts w:ascii="Lato" w:hAnsi="Lato" w:cs="ArialMT"/>
          <w:sz w:val="22"/>
          <w:szCs w:val="22"/>
        </w:rPr>
        <w:t xml:space="preserve">is </w:t>
      </w:r>
      <w:r w:rsidRPr="00905DF1">
        <w:rPr>
          <w:rFonts w:ascii="Lato" w:hAnsi="Lato" w:cs="ArialMT"/>
          <w:sz w:val="22"/>
          <w:szCs w:val="22"/>
        </w:rPr>
        <w:t xml:space="preserve">taken by </w:t>
      </w:r>
      <w:r w:rsidR="0036261C">
        <w:rPr>
          <w:rFonts w:ascii="Lato" w:hAnsi="Lato" w:cs="ArialMT"/>
          <w:sz w:val="22"/>
          <w:szCs w:val="22"/>
        </w:rPr>
        <w:t xml:space="preserve">the 1% of students with the most </w:t>
      </w:r>
      <w:r w:rsidR="00C07916" w:rsidRPr="00905DF1">
        <w:rPr>
          <w:rFonts w:ascii="Lato" w:hAnsi="Lato" w:cs="ArialMT"/>
          <w:sz w:val="22"/>
          <w:szCs w:val="22"/>
        </w:rPr>
        <w:t>sign</w:t>
      </w:r>
      <w:r w:rsidR="0036261C">
        <w:rPr>
          <w:rFonts w:ascii="Lato" w:hAnsi="Lato" w:cs="ArialMT"/>
          <w:sz w:val="22"/>
          <w:szCs w:val="22"/>
        </w:rPr>
        <w:t xml:space="preserve">ificant cognitive disabilities. </w:t>
      </w:r>
      <w:r w:rsidRPr="00905DF1">
        <w:rPr>
          <w:rFonts w:ascii="Lato" w:hAnsi="Lato" w:cs="ArialMT"/>
          <w:sz w:val="22"/>
          <w:szCs w:val="22"/>
        </w:rPr>
        <w:t>DLM is an online assessment administered individually to students. It allows students to demonstrate their knowledge and skills as they relate to the W</w:t>
      </w:r>
      <w:r w:rsidR="009C7222">
        <w:rPr>
          <w:rFonts w:ascii="Lato" w:hAnsi="Lato" w:cs="ArialMT"/>
          <w:sz w:val="22"/>
          <w:szCs w:val="22"/>
        </w:rPr>
        <w:t>isconsin</w:t>
      </w:r>
      <w:r w:rsidRPr="00905DF1">
        <w:rPr>
          <w:rFonts w:ascii="Lato" w:hAnsi="Lato" w:cs="ArialMT"/>
          <w:sz w:val="22"/>
          <w:szCs w:val="22"/>
        </w:rPr>
        <w:t xml:space="preserve"> Essential Elements.</w:t>
      </w:r>
    </w:p>
    <w:p w14:paraId="70C27EAD" w14:textId="77777777" w:rsidR="00C16FFB" w:rsidRPr="00FA4842" w:rsidRDefault="00FB154B" w:rsidP="00FB154B">
      <w:pPr>
        <w:pStyle w:val="Heading1"/>
        <w:rPr>
          <w:sz w:val="28"/>
          <w:szCs w:val="28"/>
          <w:lang w:bidi="he-IL"/>
        </w:rPr>
      </w:pPr>
      <w:r w:rsidRPr="00FA4842">
        <w:rPr>
          <w:sz w:val="28"/>
          <w:szCs w:val="28"/>
          <w:lang w:bidi="he-IL"/>
        </w:rPr>
        <w:t>High</w:t>
      </w:r>
      <w:r w:rsidR="00C16FFB" w:rsidRPr="00FA4842">
        <w:rPr>
          <w:sz w:val="28"/>
          <w:szCs w:val="28"/>
          <w:lang w:bidi="he-IL"/>
        </w:rPr>
        <w:t xml:space="preserve"> Expectations for College and Career Readiness (CCR)</w:t>
      </w:r>
    </w:p>
    <w:p w14:paraId="7082A3D7" w14:textId="77777777" w:rsidR="00FB154B" w:rsidRPr="00905DF1" w:rsidRDefault="00683BD5" w:rsidP="00C16FFB">
      <w:pPr>
        <w:pStyle w:val="ListParagraph"/>
        <w:numPr>
          <w:ilvl w:val="0"/>
          <w:numId w:val="3"/>
        </w:numPr>
        <w:rPr>
          <w:rFonts w:ascii="Lato" w:hAnsi="Lato" w:cs="ArialMT"/>
          <w:sz w:val="22"/>
          <w:szCs w:val="22"/>
        </w:rPr>
      </w:pPr>
      <w:r>
        <w:rPr>
          <w:rFonts w:ascii="Lato" w:hAnsi="Lato" w:cs="ArialMT"/>
          <w:sz w:val="22"/>
          <w:szCs w:val="22"/>
        </w:rPr>
        <w:t>ACT cut scores:</w:t>
      </w:r>
    </w:p>
    <w:p w14:paraId="5ED45CB9" w14:textId="77777777" w:rsidR="00FB154B" w:rsidRPr="00905DF1" w:rsidRDefault="00C16FFB" w:rsidP="00A9105D">
      <w:pPr>
        <w:pStyle w:val="ListParagraph"/>
        <w:numPr>
          <w:ilvl w:val="1"/>
          <w:numId w:val="12"/>
        </w:numPr>
        <w:rPr>
          <w:rFonts w:ascii="Lato" w:hAnsi="Lato" w:cs="ArialMT"/>
          <w:sz w:val="22"/>
          <w:szCs w:val="22"/>
        </w:rPr>
      </w:pPr>
      <w:r w:rsidRPr="00905DF1">
        <w:rPr>
          <w:rFonts w:ascii="Lato" w:hAnsi="Lato" w:cs="ArialMT"/>
          <w:sz w:val="22"/>
          <w:szCs w:val="22"/>
        </w:rPr>
        <w:t>Aligned to ACT’s College Readiness Benchmarks</w:t>
      </w:r>
    </w:p>
    <w:p w14:paraId="13F61B86" w14:textId="77777777" w:rsidR="00FB154B" w:rsidRPr="00905DF1" w:rsidRDefault="00C16FFB" w:rsidP="00A9105D">
      <w:pPr>
        <w:pStyle w:val="ListParagraph"/>
        <w:numPr>
          <w:ilvl w:val="1"/>
          <w:numId w:val="12"/>
        </w:numPr>
        <w:rPr>
          <w:rFonts w:ascii="Lato" w:hAnsi="Lato" w:cs="ArialMT"/>
          <w:sz w:val="22"/>
          <w:szCs w:val="22"/>
        </w:rPr>
      </w:pPr>
      <w:r w:rsidRPr="00905DF1">
        <w:rPr>
          <w:rFonts w:ascii="Lato" w:hAnsi="Lato" w:cs="ArialMT"/>
          <w:sz w:val="22"/>
          <w:szCs w:val="22"/>
        </w:rPr>
        <w:t>Proficiency signals readiness for</w:t>
      </w:r>
      <w:r w:rsidR="009C7222">
        <w:rPr>
          <w:rFonts w:ascii="Lato" w:hAnsi="Lato" w:cs="ArialMT"/>
          <w:sz w:val="22"/>
          <w:szCs w:val="22"/>
        </w:rPr>
        <w:t xml:space="preserve"> </w:t>
      </w:r>
      <w:r w:rsidRPr="00905DF1">
        <w:rPr>
          <w:rFonts w:ascii="Lato" w:hAnsi="Lato" w:cs="ArialMT"/>
          <w:sz w:val="22"/>
          <w:szCs w:val="22"/>
        </w:rPr>
        <w:t>credit</w:t>
      </w:r>
      <w:r w:rsidR="00FB154B" w:rsidRPr="00905DF1">
        <w:rPr>
          <w:rFonts w:ascii="Lato" w:hAnsi="Lato" w:cs="ArialMT"/>
          <w:sz w:val="22"/>
          <w:szCs w:val="22"/>
        </w:rPr>
        <w:t>-</w:t>
      </w:r>
      <w:r w:rsidRPr="00905DF1">
        <w:rPr>
          <w:rFonts w:ascii="Lato" w:hAnsi="Lato" w:cs="ArialMT"/>
          <w:sz w:val="22"/>
          <w:szCs w:val="22"/>
        </w:rPr>
        <w:t>bearing</w:t>
      </w:r>
      <w:r w:rsidR="00FB154B" w:rsidRPr="00905DF1">
        <w:rPr>
          <w:rFonts w:ascii="Lato" w:hAnsi="Lato" w:cs="ArialMT"/>
          <w:sz w:val="22"/>
          <w:szCs w:val="22"/>
        </w:rPr>
        <w:t xml:space="preserve"> </w:t>
      </w:r>
      <w:r w:rsidRPr="00905DF1">
        <w:rPr>
          <w:rFonts w:ascii="Lato" w:hAnsi="Lato" w:cs="ArialMT"/>
          <w:sz w:val="22"/>
          <w:szCs w:val="22"/>
        </w:rPr>
        <w:t>college</w:t>
      </w:r>
      <w:r w:rsidR="00FB154B" w:rsidRPr="00905DF1">
        <w:rPr>
          <w:rFonts w:ascii="Lato" w:hAnsi="Lato" w:cs="ArialMT"/>
          <w:sz w:val="22"/>
          <w:szCs w:val="22"/>
        </w:rPr>
        <w:t>-</w:t>
      </w:r>
      <w:r w:rsidRPr="00905DF1">
        <w:rPr>
          <w:rFonts w:ascii="Lato" w:hAnsi="Lato" w:cs="ArialMT"/>
          <w:sz w:val="22"/>
          <w:szCs w:val="22"/>
        </w:rPr>
        <w:t>level</w:t>
      </w:r>
      <w:r w:rsidR="00FB154B" w:rsidRPr="00905DF1">
        <w:rPr>
          <w:rFonts w:ascii="Lato" w:hAnsi="Lato" w:cs="ArialMT"/>
          <w:sz w:val="22"/>
          <w:szCs w:val="22"/>
        </w:rPr>
        <w:t xml:space="preserve"> </w:t>
      </w:r>
      <w:r w:rsidRPr="00905DF1">
        <w:rPr>
          <w:rFonts w:ascii="Lato" w:hAnsi="Lato" w:cs="ArialMT"/>
          <w:sz w:val="22"/>
          <w:szCs w:val="22"/>
        </w:rPr>
        <w:t>coursework</w:t>
      </w:r>
    </w:p>
    <w:p w14:paraId="638A8FE3" w14:textId="77777777" w:rsidR="006D664A" w:rsidRPr="00905DF1" w:rsidRDefault="006D664A" w:rsidP="00A9105D">
      <w:pPr>
        <w:pStyle w:val="ListParagraph"/>
        <w:numPr>
          <w:ilvl w:val="1"/>
          <w:numId w:val="12"/>
        </w:numPr>
        <w:rPr>
          <w:rFonts w:ascii="Lato" w:hAnsi="Lato" w:cs="ArialMT"/>
          <w:sz w:val="22"/>
          <w:szCs w:val="22"/>
        </w:rPr>
      </w:pPr>
      <w:r w:rsidRPr="00905DF1">
        <w:rPr>
          <w:rFonts w:ascii="Lato" w:hAnsi="Lato" w:cs="ArialMT"/>
          <w:sz w:val="22"/>
          <w:szCs w:val="22"/>
        </w:rPr>
        <w:t>Resources:</w:t>
      </w:r>
    </w:p>
    <w:p w14:paraId="55BED7BF" w14:textId="77777777" w:rsidR="00C16FFB" w:rsidRPr="00885542" w:rsidRDefault="00244529" w:rsidP="00885542">
      <w:pPr>
        <w:pStyle w:val="ListParagraph"/>
        <w:numPr>
          <w:ilvl w:val="0"/>
          <w:numId w:val="35"/>
        </w:numPr>
        <w:rPr>
          <w:rFonts w:ascii="Lato" w:hAnsi="Lato" w:cs="ArialMT"/>
          <w:sz w:val="22"/>
          <w:szCs w:val="22"/>
        </w:rPr>
      </w:pPr>
      <w:hyperlink r:id="rId8" w:history="1">
        <w:r w:rsidR="00E33826" w:rsidRPr="00885542">
          <w:rPr>
            <w:rStyle w:val="Hyperlink"/>
            <w:rFonts w:ascii="Lato" w:hAnsi="Lato"/>
            <w:sz w:val="22"/>
            <w:szCs w:val="22"/>
          </w:rPr>
          <w:t>ACT Data and Results</w:t>
        </w:r>
      </w:hyperlink>
      <w:r w:rsidR="00E33826" w:rsidRPr="00885542">
        <w:rPr>
          <w:rFonts w:ascii="Lato" w:hAnsi="Lato"/>
          <w:sz w:val="22"/>
          <w:szCs w:val="22"/>
        </w:rPr>
        <w:t xml:space="preserve"> </w:t>
      </w:r>
      <w:r w:rsidR="006D664A" w:rsidRPr="00885542">
        <w:rPr>
          <w:rFonts w:ascii="Lato" w:hAnsi="Lato" w:cs="ArialMT"/>
          <w:sz w:val="22"/>
          <w:szCs w:val="22"/>
        </w:rPr>
        <w:t xml:space="preserve"> </w:t>
      </w:r>
    </w:p>
    <w:p w14:paraId="1567A3E4" w14:textId="77777777" w:rsidR="00630355" w:rsidRPr="00885542" w:rsidRDefault="00244529" w:rsidP="00885542">
      <w:pPr>
        <w:pStyle w:val="ListParagraph"/>
        <w:numPr>
          <w:ilvl w:val="0"/>
          <w:numId w:val="35"/>
        </w:numPr>
        <w:rPr>
          <w:rFonts w:ascii="Lato" w:hAnsi="Lato" w:cs="ArialMT"/>
          <w:sz w:val="22"/>
          <w:szCs w:val="22"/>
        </w:rPr>
      </w:pPr>
      <w:hyperlink r:id="rId9" w:history="1">
        <w:r w:rsidR="00E33826" w:rsidRPr="00885542">
          <w:rPr>
            <w:rStyle w:val="Hyperlink"/>
            <w:rFonts w:ascii="Lato" w:hAnsi="Lato" w:cs="ArialMT"/>
            <w:sz w:val="22"/>
            <w:szCs w:val="22"/>
          </w:rPr>
          <w:t>ACT Data Proficiency</w:t>
        </w:r>
      </w:hyperlink>
      <w:r w:rsidR="00E33826" w:rsidRPr="00885542">
        <w:rPr>
          <w:rFonts w:ascii="Lato" w:hAnsi="Lato" w:cs="ArialMT"/>
          <w:sz w:val="22"/>
          <w:szCs w:val="22"/>
        </w:rPr>
        <w:t xml:space="preserve"> </w:t>
      </w:r>
    </w:p>
    <w:p w14:paraId="44070BB7" w14:textId="77777777" w:rsidR="00630355" w:rsidRPr="005C3A2B" w:rsidRDefault="00630355" w:rsidP="00630355">
      <w:pPr>
        <w:pStyle w:val="ListParagraph"/>
        <w:numPr>
          <w:ilvl w:val="0"/>
          <w:numId w:val="26"/>
        </w:numPr>
        <w:rPr>
          <w:rFonts w:ascii="Lato" w:hAnsi="Lato" w:cs="ArialMT"/>
          <w:sz w:val="22"/>
          <w:szCs w:val="22"/>
        </w:rPr>
      </w:pPr>
      <w:r>
        <w:rPr>
          <w:rFonts w:ascii="Lato" w:hAnsi="Lato" w:cs="ArialMT"/>
          <w:sz w:val="22"/>
          <w:szCs w:val="22"/>
        </w:rPr>
        <w:t xml:space="preserve">         </w:t>
      </w:r>
      <w:r w:rsidRPr="005C3A2B">
        <w:rPr>
          <w:rFonts w:ascii="Lato" w:hAnsi="Lato" w:cs="ArialMT"/>
          <w:sz w:val="22"/>
          <w:szCs w:val="22"/>
        </w:rPr>
        <w:t xml:space="preserve">Aspire cut scores: </w:t>
      </w:r>
    </w:p>
    <w:p w14:paraId="2ED72EB1" w14:textId="6A1F0A2E" w:rsidR="003A495D" w:rsidRPr="00885542" w:rsidRDefault="003A495D" w:rsidP="00885542">
      <w:pPr>
        <w:pStyle w:val="ListParagraph"/>
        <w:numPr>
          <w:ilvl w:val="0"/>
          <w:numId w:val="33"/>
        </w:numPr>
        <w:rPr>
          <w:rFonts w:ascii="Lato" w:hAnsi="Lato" w:cs="ArialMT"/>
          <w:sz w:val="22"/>
          <w:szCs w:val="22"/>
        </w:rPr>
      </w:pPr>
      <w:r w:rsidRPr="00885542">
        <w:rPr>
          <w:rFonts w:ascii="Lato" w:hAnsi="Lato" w:cs="ArialMT"/>
          <w:sz w:val="22"/>
          <w:szCs w:val="22"/>
        </w:rPr>
        <w:t>Proficiency is aligned to Aspire’</w:t>
      </w:r>
      <w:r w:rsidR="00057654" w:rsidRPr="00885542">
        <w:rPr>
          <w:rFonts w:ascii="Lato" w:hAnsi="Lato" w:cs="ArialMT"/>
          <w:sz w:val="22"/>
          <w:szCs w:val="22"/>
        </w:rPr>
        <w:t>s Readiness B</w:t>
      </w:r>
      <w:r w:rsidR="005E38C3">
        <w:rPr>
          <w:rFonts w:ascii="Lato" w:hAnsi="Lato" w:cs="ArialMT"/>
          <w:sz w:val="22"/>
          <w:szCs w:val="22"/>
        </w:rPr>
        <w:t>enchmarks</w:t>
      </w:r>
    </w:p>
    <w:p w14:paraId="719EA8F4" w14:textId="1376650F" w:rsidR="003A495D" w:rsidRPr="00885542" w:rsidRDefault="003A495D" w:rsidP="00885542">
      <w:pPr>
        <w:pStyle w:val="ListParagraph"/>
        <w:numPr>
          <w:ilvl w:val="0"/>
          <w:numId w:val="33"/>
        </w:numPr>
        <w:rPr>
          <w:rFonts w:ascii="Lato" w:hAnsi="Lato" w:cs="ArialMT"/>
          <w:sz w:val="22"/>
          <w:szCs w:val="22"/>
        </w:rPr>
      </w:pPr>
      <w:r w:rsidRPr="00885542">
        <w:rPr>
          <w:rFonts w:ascii="Lato" w:hAnsi="Lato" w:cs="ArialMT"/>
          <w:sz w:val="22"/>
          <w:szCs w:val="22"/>
        </w:rPr>
        <w:t>Proficiency signals</w:t>
      </w:r>
      <w:r w:rsidR="00C57638" w:rsidRPr="00885542">
        <w:rPr>
          <w:rFonts w:ascii="Lato" w:hAnsi="Lato" w:cs="ArialMT"/>
          <w:sz w:val="22"/>
          <w:szCs w:val="22"/>
        </w:rPr>
        <w:t xml:space="preserve"> student is on target for 50% or</w:t>
      </w:r>
      <w:r w:rsidRPr="00885542">
        <w:rPr>
          <w:rFonts w:ascii="Lato" w:hAnsi="Lato" w:cs="ArialMT"/>
          <w:sz w:val="22"/>
          <w:szCs w:val="22"/>
        </w:rPr>
        <w:t xml:space="preserve"> higher likelihood of col</w:t>
      </w:r>
      <w:r w:rsidR="005E38C3">
        <w:rPr>
          <w:rFonts w:ascii="Lato" w:hAnsi="Lato" w:cs="ArialMT"/>
          <w:sz w:val="22"/>
          <w:szCs w:val="22"/>
        </w:rPr>
        <w:t>lege course success by grade 11</w:t>
      </w:r>
    </w:p>
    <w:p w14:paraId="44177C2B" w14:textId="77777777" w:rsidR="00630355" w:rsidRPr="00885542" w:rsidRDefault="00630355" w:rsidP="00885542">
      <w:pPr>
        <w:pStyle w:val="ListParagraph"/>
        <w:numPr>
          <w:ilvl w:val="0"/>
          <w:numId w:val="33"/>
        </w:numPr>
        <w:rPr>
          <w:rFonts w:ascii="Lato" w:hAnsi="Lato" w:cs="ArialMT"/>
          <w:color w:val="000000" w:themeColor="text1"/>
          <w:sz w:val="22"/>
          <w:szCs w:val="22"/>
        </w:rPr>
      </w:pPr>
      <w:r w:rsidRPr="00885542">
        <w:rPr>
          <w:rFonts w:ascii="Lato" w:hAnsi="Lato" w:cs="ArialMT"/>
          <w:color w:val="000000" w:themeColor="text1"/>
          <w:sz w:val="22"/>
          <w:szCs w:val="22"/>
        </w:rPr>
        <w:t xml:space="preserve">Resources: </w:t>
      </w:r>
    </w:p>
    <w:p w14:paraId="21728231" w14:textId="16CCBCB2" w:rsidR="00630355" w:rsidRPr="00885542" w:rsidRDefault="00244529" w:rsidP="00885542">
      <w:pPr>
        <w:pStyle w:val="ListParagraph"/>
        <w:numPr>
          <w:ilvl w:val="0"/>
          <w:numId w:val="34"/>
        </w:numPr>
        <w:rPr>
          <w:rFonts w:ascii="Lato" w:hAnsi="Lato" w:cs="ArialMT"/>
          <w:color w:val="000000" w:themeColor="text1"/>
          <w:sz w:val="22"/>
          <w:szCs w:val="22"/>
        </w:rPr>
      </w:pPr>
      <w:hyperlink r:id="rId10" w:history="1">
        <w:r w:rsidR="003A495D" w:rsidRPr="00885542">
          <w:rPr>
            <w:rStyle w:val="Hyperlink"/>
            <w:rFonts w:ascii="Lato" w:hAnsi="Lato" w:cs="ArialMT"/>
            <w:sz w:val="22"/>
            <w:szCs w:val="22"/>
          </w:rPr>
          <w:t>ACT Aspire Dashboards About the Data</w:t>
        </w:r>
      </w:hyperlink>
    </w:p>
    <w:p w14:paraId="40F96918" w14:textId="77777777" w:rsidR="00683BD5" w:rsidRPr="00982523" w:rsidRDefault="00EA07A9" w:rsidP="00EA07A9">
      <w:pPr>
        <w:pStyle w:val="ListParagraph"/>
        <w:numPr>
          <w:ilvl w:val="0"/>
          <w:numId w:val="26"/>
        </w:numPr>
        <w:rPr>
          <w:rFonts w:ascii="Lato" w:hAnsi="Lato" w:cs="ArialMT"/>
          <w:color w:val="000000" w:themeColor="text1"/>
          <w:sz w:val="22"/>
          <w:szCs w:val="22"/>
        </w:rPr>
      </w:pPr>
      <w:r w:rsidRPr="00982523">
        <w:rPr>
          <w:rFonts w:ascii="Lato" w:hAnsi="Lato" w:cs="ArialMT"/>
          <w:color w:val="000000" w:themeColor="text1"/>
          <w:sz w:val="22"/>
          <w:szCs w:val="22"/>
        </w:rPr>
        <w:t xml:space="preserve">         </w:t>
      </w:r>
      <w:r w:rsidR="00683BD5" w:rsidRPr="00982523">
        <w:rPr>
          <w:rFonts w:ascii="Lato" w:hAnsi="Lato" w:cs="ArialMT"/>
          <w:color w:val="000000" w:themeColor="text1"/>
          <w:sz w:val="22"/>
          <w:szCs w:val="22"/>
        </w:rPr>
        <w:t>DLM</w:t>
      </w:r>
      <w:r w:rsidR="00630355" w:rsidRPr="00982523">
        <w:rPr>
          <w:rFonts w:ascii="Lato" w:hAnsi="Lato" w:cs="ArialMT"/>
          <w:color w:val="000000" w:themeColor="text1"/>
          <w:sz w:val="22"/>
          <w:szCs w:val="22"/>
        </w:rPr>
        <w:t xml:space="preserve"> cut scores: </w:t>
      </w:r>
    </w:p>
    <w:p w14:paraId="3B4188A6" w14:textId="77777777" w:rsidR="0036261C" w:rsidRPr="00982523" w:rsidRDefault="0036261C" w:rsidP="0036261C">
      <w:pPr>
        <w:pStyle w:val="ListParagraph"/>
        <w:numPr>
          <w:ilvl w:val="0"/>
          <w:numId w:val="27"/>
        </w:numPr>
        <w:rPr>
          <w:rFonts w:ascii="Lato" w:hAnsi="Lato" w:cs="ArialMT"/>
          <w:color w:val="000000" w:themeColor="text1"/>
          <w:sz w:val="22"/>
          <w:szCs w:val="22"/>
        </w:rPr>
      </w:pPr>
      <w:r w:rsidRPr="00982523">
        <w:rPr>
          <w:rFonts w:ascii="Lato" w:hAnsi="Lato" w:cs="ArialMT"/>
          <w:color w:val="000000" w:themeColor="text1"/>
          <w:sz w:val="22"/>
          <w:szCs w:val="22"/>
        </w:rPr>
        <w:t>Aligned to ACT’s College Readiness Benchmarks</w:t>
      </w:r>
    </w:p>
    <w:p w14:paraId="5C24145B" w14:textId="77777777" w:rsidR="00EA07A9" w:rsidRDefault="00EA07A9" w:rsidP="00EA07A9">
      <w:pPr>
        <w:pStyle w:val="ListParagraph"/>
        <w:numPr>
          <w:ilvl w:val="0"/>
          <w:numId w:val="27"/>
        </w:numPr>
        <w:rPr>
          <w:rFonts w:ascii="Lato" w:hAnsi="Lato" w:cs="ArialMT"/>
          <w:sz w:val="22"/>
          <w:szCs w:val="22"/>
        </w:rPr>
      </w:pPr>
      <w:r w:rsidRPr="00982523">
        <w:rPr>
          <w:rFonts w:ascii="Lato" w:hAnsi="Lato" w:cs="ArialMT"/>
          <w:color w:val="000000" w:themeColor="text1"/>
          <w:sz w:val="22"/>
          <w:szCs w:val="22"/>
        </w:rPr>
        <w:t>Resources</w:t>
      </w:r>
      <w:r>
        <w:rPr>
          <w:rFonts w:ascii="Lato" w:hAnsi="Lato" w:cs="ArialMT"/>
          <w:sz w:val="22"/>
          <w:szCs w:val="22"/>
        </w:rPr>
        <w:t>:</w:t>
      </w:r>
    </w:p>
    <w:p w14:paraId="6F2DCEE8" w14:textId="77777777" w:rsidR="00EA07A9" w:rsidRDefault="00244529" w:rsidP="00EA07A9">
      <w:pPr>
        <w:pStyle w:val="ListParagraph"/>
        <w:numPr>
          <w:ilvl w:val="1"/>
          <w:numId w:val="28"/>
        </w:numPr>
        <w:rPr>
          <w:rFonts w:ascii="Lato" w:hAnsi="Lato" w:cs="ArialMT"/>
          <w:sz w:val="22"/>
          <w:szCs w:val="22"/>
        </w:rPr>
      </w:pPr>
      <w:hyperlink r:id="rId11" w:history="1">
        <w:r w:rsidR="00EA07A9" w:rsidRPr="00EA07A9">
          <w:rPr>
            <w:rStyle w:val="Hyperlink"/>
            <w:rFonts w:ascii="Lato" w:hAnsi="Lato" w:cs="ArialMT"/>
            <w:sz w:val="22"/>
            <w:szCs w:val="22"/>
          </w:rPr>
          <w:t>DLM Resources</w:t>
        </w:r>
      </w:hyperlink>
      <w:r w:rsidR="00EA07A9">
        <w:rPr>
          <w:rFonts w:ascii="Lato" w:hAnsi="Lato" w:cs="ArialMT"/>
          <w:sz w:val="22"/>
          <w:szCs w:val="22"/>
        </w:rPr>
        <w:t xml:space="preserve"> </w:t>
      </w:r>
    </w:p>
    <w:p w14:paraId="5F342916" w14:textId="0870575E" w:rsidR="0036261C" w:rsidRPr="00982523" w:rsidRDefault="00244529" w:rsidP="00683BD5">
      <w:pPr>
        <w:pStyle w:val="ListParagraph"/>
        <w:numPr>
          <w:ilvl w:val="1"/>
          <w:numId w:val="28"/>
        </w:numPr>
        <w:rPr>
          <w:rFonts w:ascii="Lato" w:hAnsi="Lato" w:cs="ArialMT"/>
          <w:sz w:val="22"/>
          <w:szCs w:val="22"/>
        </w:rPr>
      </w:pPr>
      <w:hyperlink r:id="rId12" w:history="1">
        <w:r w:rsidR="00EA07A9" w:rsidRPr="00EA07A9">
          <w:rPr>
            <w:rStyle w:val="Hyperlink"/>
            <w:rFonts w:ascii="Lato" w:hAnsi="Lato" w:cs="ArialMT"/>
            <w:sz w:val="22"/>
            <w:szCs w:val="22"/>
          </w:rPr>
          <w:t>Data and Results</w:t>
        </w:r>
      </w:hyperlink>
      <w:r w:rsidR="00EA07A9">
        <w:rPr>
          <w:rFonts w:ascii="Lato" w:hAnsi="Lato" w:cs="ArialMT"/>
          <w:sz w:val="22"/>
          <w:szCs w:val="22"/>
        </w:rPr>
        <w:t xml:space="preserve"> </w:t>
      </w:r>
    </w:p>
    <w:p w14:paraId="6F1925E1" w14:textId="77777777" w:rsidR="006D664A" w:rsidRPr="00905DF1" w:rsidRDefault="006D664A" w:rsidP="006D664A">
      <w:pPr>
        <w:pStyle w:val="ListParagraph"/>
        <w:numPr>
          <w:ilvl w:val="0"/>
          <w:numId w:val="3"/>
        </w:numPr>
        <w:rPr>
          <w:rFonts w:ascii="Lato" w:hAnsi="Lato" w:cs="ArialMT"/>
          <w:sz w:val="22"/>
          <w:szCs w:val="22"/>
        </w:rPr>
      </w:pPr>
      <w:r w:rsidRPr="00E33826">
        <w:rPr>
          <w:rFonts w:ascii="Lato" w:hAnsi="Lato" w:cs="ArialMT"/>
          <w:sz w:val="22"/>
          <w:szCs w:val="22"/>
        </w:rPr>
        <w:t xml:space="preserve">Forward Exam </w:t>
      </w:r>
      <w:r w:rsidR="00A6220B" w:rsidRPr="00E33826">
        <w:rPr>
          <w:rFonts w:ascii="Lato" w:hAnsi="Lato" w:cs="ArialMT"/>
          <w:sz w:val="22"/>
          <w:szCs w:val="22"/>
        </w:rPr>
        <w:t>cut scores</w:t>
      </w:r>
      <w:r w:rsidR="00683BD5">
        <w:rPr>
          <w:rFonts w:ascii="Lato" w:hAnsi="Lato" w:cs="ArialMT"/>
          <w:sz w:val="22"/>
          <w:szCs w:val="22"/>
        </w:rPr>
        <w:t>:</w:t>
      </w:r>
      <w:r w:rsidR="00A6220B" w:rsidRPr="00E33826">
        <w:rPr>
          <w:rFonts w:ascii="Lato" w:hAnsi="Lato" w:cs="ArialMT"/>
          <w:sz w:val="22"/>
          <w:szCs w:val="22"/>
        </w:rPr>
        <w:t xml:space="preserve"> </w:t>
      </w:r>
    </w:p>
    <w:p w14:paraId="32CF105E" w14:textId="77777777" w:rsidR="009954B0" w:rsidRPr="00905DF1" w:rsidRDefault="009954B0" w:rsidP="00A9105D">
      <w:pPr>
        <w:pStyle w:val="ListParagraph"/>
        <w:numPr>
          <w:ilvl w:val="1"/>
          <w:numId w:val="13"/>
        </w:numPr>
        <w:rPr>
          <w:rFonts w:ascii="Lato" w:hAnsi="Lato" w:cs="ArialMT"/>
          <w:sz w:val="22"/>
          <w:szCs w:val="22"/>
        </w:rPr>
      </w:pPr>
      <w:r w:rsidRPr="00905DF1">
        <w:rPr>
          <w:rFonts w:ascii="Lato" w:hAnsi="Lato" w:cs="ArialMT"/>
          <w:sz w:val="22"/>
          <w:szCs w:val="22"/>
        </w:rPr>
        <w:t>Resources:</w:t>
      </w:r>
    </w:p>
    <w:p w14:paraId="4CB3A1B7" w14:textId="77777777" w:rsidR="009954B0" w:rsidRPr="00885542" w:rsidRDefault="00244529" w:rsidP="00885542">
      <w:pPr>
        <w:pStyle w:val="ListParagraph"/>
        <w:numPr>
          <w:ilvl w:val="0"/>
          <w:numId w:val="36"/>
        </w:numPr>
        <w:rPr>
          <w:rStyle w:val="Hyperlink"/>
          <w:rFonts w:ascii="Lato" w:hAnsi="Lato" w:cs="ArialMT"/>
          <w:color w:val="000000"/>
          <w:sz w:val="22"/>
          <w:szCs w:val="22"/>
          <w:u w:val="none"/>
        </w:rPr>
      </w:pPr>
      <w:hyperlink r:id="rId13" w:history="1">
        <w:r w:rsidR="009954B0" w:rsidRPr="00885542">
          <w:rPr>
            <w:rStyle w:val="Hyperlink"/>
            <w:rFonts w:ascii="Lato" w:hAnsi="Lato" w:cs="ArialMT"/>
            <w:sz w:val="22"/>
            <w:szCs w:val="22"/>
          </w:rPr>
          <w:t>Forward Exam Data &amp; Results</w:t>
        </w:r>
      </w:hyperlink>
    </w:p>
    <w:p w14:paraId="224FD2D5" w14:textId="77777777" w:rsidR="008B5777" w:rsidRPr="00885542" w:rsidRDefault="00244529" w:rsidP="00885542">
      <w:pPr>
        <w:pStyle w:val="ListParagraph"/>
        <w:numPr>
          <w:ilvl w:val="0"/>
          <w:numId w:val="36"/>
        </w:numPr>
        <w:rPr>
          <w:rFonts w:ascii="Lato" w:hAnsi="Lato" w:cs="ArialMT"/>
          <w:sz w:val="22"/>
          <w:szCs w:val="22"/>
        </w:rPr>
      </w:pPr>
      <w:hyperlink r:id="rId14" w:history="1">
        <w:r w:rsidR="008B5777" w:rsidRPr="00885542">
          <w:rPr>
            <w:rStyle w:val="Hyperlink"/>
            <w:rFonts w:ascii="Lato" w:hAnsi="Lato" w:cs="ArialMT"/>
            <w:sz w:val="22"/>
            <w:szCs w:val="22"/>
          </w:rPr>
          <w:t>User's Guide to Interpreting Reports</w:t>
        </w:r>
      </w:hyperlink>
      <w:r w:rsidR="008B5777" w:rsidRPr="00885542">
        <w:rPr>
          <w:rFonts w:ascii="Lato" w:hAnsi="Lato" w:cs="ArialMT"/>
          <w:sz w:val="22"/>
          <w:szCs w:val="22"/>
        </w:rPr>
        <w:t xml:space="preserve"> </w:t>
      </w:r>
    </w:p>
    <w:p w14:paraId="6B57F7B0" w14:textId="77777777" w:rsidR="00C16FFB" w:rsidRPr="00FA4842" w:rsidRDefault="00655BB9" w:rsidP="009954B0">
      <w:pPr>
        <w:pStyle w:val="Heading1"/>
        <w:rPr>
          <w:sz w:val="28"/>
          <w:szCs w:val="28"/>
          <w:lang w:bidi="he-IL"/>
        </w:rPr>
      </w:pPr>
      <w:r w:rsidRPr="00FA4842">
        <w:rPr>
          <w:sz w:val="28"/>
          <w:szCs w:val="28"/>
          <w:lang w:bidi="he-IL"/>
        </w:rPr>
        <w:t>Please Note/</w:t>
      </w:r>
      <w:r w:rsidR="00C16FFB" w:rsidRPr="00FA4842">
        <w:rPr>
          <w:sz w:val="28"/>
          <w:szCs w:val="28"/>
          <w:lang w:bidi="he-IL"/>
        </w:rPr>
        <w:t>Data Cautions</w:t>
      </w:r>
    </w:p>
    <w:p w14:paraId="519EF62C" w14:textId="4DB66DBB" w:rsidR="009954B0" w:rsidRPr="005E38C3" w:rsidRDefault="000478B0" w:rsidP="005E38C3">
      <w:pPr>
        <w:rPr>
          <w:rFonts w:ascii="Lato" w:hAnsi="Lato" w:cs="ArialMT"/>
          <w:sz w:val="22"/>
          <w:szCs w:val="22"/>
        </w:rPr>
      </w:pPr>
      <w:r w:rsidRPr="00FA4842">
        <w:rPr>
          <w:rFonts w:ascii="Lato" w:hAnsi="Lato"/>
          <w:sz w:val="22"/>
          <w:szCs w:val="22"/>
        </w:rPr>
        <w:t>U</w:t>
      </w:r>
      <w:r w:rsidR="00905DF1" w:rsidRPr="00FA4842">
        <w:rPr>
          <w:rFonts w:ascii="Lato" w:hAnsi="Lato"/>
          <w:sz w:val="22"/>
          <w:szCs w:val="22"/>
        </w:rPr>
        <w:t xml:space="preserve">se these results in conjunction with other data to drive school improvement. WSAS results are high profile, but only one of many data points that should be considered in a school improvement planning process. </w:t>
      </w:r>
      <w:r w:rsidR="005E38C3">
        <w:rPr>
          <w:rFonts w:ascii="Lato" w:hAnsi="Lato" w:cs="ArialMT"/>
          <w:sz w:val="22"/>
          <w:szCs w:val="22"/>
        </w:rPr>
        <w:t xml:space="preserve"> </w:t>
      </w:r>
      <w:r w:rsidR="005E38C3">
        <w:rPr>
          <w:rFonts w:ascii="Lato" w:hAnsi="Lato" w:cs="ArialMT"/>
          <w:sz w:val="22"/>
          <w:szCs w:val="22"/>
        </w:rPr>
        <w:br/>
      </w:r>
      <w:r w:rsidR="005E38C3">
        <w:rPr>
          <w:rFonts w:ascii="Lato" w:hAnsi="Lato" w:cs="ArialMT"/>
          <w:sz w:val="22"/>
          <w:szCs w:val="22"/>
        </w:rPr>
        <w:br/>
      </w:r>
      <w:r w:rsidR="00C16FFB" w:rsidRPr="005E38C3">
        <w:rPr>
          <w:rFonts w:ascii="Lato" w:hAnsi="Lato" w:cs="ArialMT"/>
          <w:sz w:val="22"/>
          <w:szCs w:val="22"/>
        </w:rPr>
        <w:t>Differences between ACT statewide and ACT graduates releases</w:t>
      </w:r>
      <w:r w:rsidR="005E38C3">
        <w:rPr>
          <w:rFonts w:ascii="Lato" w:hAnsi="Lato" w:cs="ArialMT"/>
          <w:sz w:val="22"/>
          <w:szCs w:val="22"/>
        </w:rPr>
        <w:t>:</w:t>
      </w:r>
    </w:p>
    <w:p w14:paraId="5A56E806" w14:textId="77777777" w:rsidR="009954B0" w:rsidRPr="005E38C3" w:rsidRDefault="00C16FFB" w:rsidP="005E38C3">
      <w:pPr>
        <w:pStyle w:val="ListParagraph"/>
        <w:numPr>
          <w:ilvl w:val="0"/>
          <w:numId w:val="37"/>
        </w:numPr>
        <w:rPr>
          <w:rFonts w:ascii="Lato" w:hAnsi="Lato" w:cs="ArialMT"/>
          <w:sz w:val="22"/>
          <w:szCs w:val="22"/>
        </w:rPr>
      </w:pPr>
      <w:r w:rsidRPr="005E38C3">
        <w:rPr>
          <w:rFonts w:ascii="Lato" w:hAnsi="Lato" w:cs="ArialMT"/>
          <w:sz w:val="22"/>
          <w:szCs w:val="22"/>
        </w:rPr>
        <w:t xml:space="preserve">ACT </w:t>
      </w:r>
      <w:r w:rsidRPr="005E38C3">
        <w:rPr>
          <w:rFonts w:ascii="Lato" w:hAnsi="Lato" w:cs="ArialMT"/>
          <w:b/>
          <w:sz w:val="22"/>
          <w:szCs w:val="22"/>
        </w:rPr>
        <w:t>graduates</w:t>
      </w:r>
      <w:r w:rsidRPr="005E38C3">
        <w:rPr>
          <w:rFonts w:ascii="Lato" w:hAnsi="Lato" w:cs="ArialMT"/>
          <w:sz w:val="22"/>
          <w:szCs w:val="22"/>
        </w:rPr>
        <w:t xml:space="preserve"> is the most recent score for students who reported as having</w:t>
      </w:r>
      <w:r w:rsidR="009954B0" w:rsidRPr="005E38C3">
        <w:rPr>
          <w:rFonts w:ascii="Lato" w:hAnsi="Lato" w:cs="ArialMT"/>
          <w:sz w:val="22"/>
          <w:szCs w:val="22"/>
        </w:rPr>
        <w:t xml:space="preserve"> </w:t>
      </w:r>
      <w:r w:rsidRPr="005E38C3">
        <w:rPr>
          <w:rFonts w:ascii="Lato" w:hAnsi="Lato" w:cs="ArialMT"/>
          <w:sz w:val="22"/>
          <w:szCs w:val="22"/>
        </w:rPr>
        <w:t>graduated in that year.</w:t>
      </w:r>
    </w:p>
    <w:p w14:paraId="5310198D" w14:textId="33351F47" w:rsidR="009954B0" w:rsidRPr="005E38C3" w:rsidRDefault="00C16FFB" w:rsidP="005E38C3">
      <w:pPr>
        <w:pStyle w:val="ListParagraph"/>
        <w:numPr>
          <w:ilvl w:val="0"/>
          <w:numId w:val="37"/>
        </w:numPr>
        <w:rPr>
          <w:rFonts w:ascii="Lato" w:hAnsi="Lato" w:cs="ArialMT"/>
          <w:sz w:val="22"/>
          <w:szCs w:val="22"/>
        </w:rPr>
      </w:pPr>
      <w:r w:rsidRPr="005E38C3">
        <w:rPr>
          <w:rFonts w:ascii="Lato" w:hAnsi="Lato" w:cs="ArialMT"/>
          <w:sz w:val="22"/>
          <w:szCs w:val="22"/>
        </w:rPr>
        <w:t xml:space="preserve">ACT </w:t>
      </w:r>
      <w:r w:rsidRPr="005E38C3">
        <w:rPr>
          <w:rFonts w:ascii="Lato" w:hAnsi="Lato" w:cs="ArialMT"/>
          <w:b/>
          <w:sz w:val="22"/>
          <w:szCs w:val="22"/>
        </w:rPr>
        <w:t>statewide</w:t>
      </w:r>
      <w:r w:rsidRPr="005E38C3">
        <w:rPr>
          <w:rFonts w:ascii="Lato" w:hAnsi="Lato" w:cs="ArialMT"/>
          <w:sz w:val="22"/>
          <w:szCs w:val="22"/>
        </w:rPr>
        <w:t xml:space="preserve"> is the </w:t>
      </w:r>
      <w:r w:rsidR="00DB20C3" w:rsidRPr="005E38C3">
        <w:rPr>
          <w:rFonts w:ascii="Lato" w:hAnsi="Lato" w:cs="ArialMT"/>
          <w:sz w:val="22"/>
          <w:szCs w:val="22"/>
        </w:rPr>
        <w:t xml:space="preserve">annual </w:t>
      </w:r>
      <w:r w:rsidRPr="005E38C3">
        <w:rPr>
          <w:rFonts w:ascii="Lato" w:hAnsi="Lato" w:cs="ArialMT"/>
          <w:sz w:val="22"/>
          <w:szCs w:val="22"/>
        </w:rPr>
        <w:t>requ</w:t>
      </w:r>
      <w:r w:rsidR="00C57638" w:rsidRPr="005E38C3">
        <w:rPr>
          <w:rFonts w:ascii="Lato" w:hAnsi="Lato" w:cs="ArialMT"/>
          <w:sz w:val="22"/>
          <w:szCs w:val="22"/>
        </w:rPr>
        <w:t>ired administration of the ACT with</w:t>
      </w:r>
      <w:r w:rsidRPr="005E38C3">
        <w:rPr>
          <w:rFonts w:ascii="Lato" w:hAnsi="Lato" w:cs="ArialMT"/>
          <w:sz w:val="22"/>
          <w:szCs w:val="22"/>
        </w:rPr>
        <w:t xml:space="preserve"> </w:t>
      </w:r>
      <w:r w:rsidR="00517BB1" w:rsidRPr="005E38C3">
        <w:rPr>
          <w:rFonts w:ascii="Lato" w:hAnsi="Lato" w:cs="ArialMT"/>
          <w:sz w:val="22"/>
          <w:szCs w:val="22"/>
        </w:rPr>
        <w:t>w</w:t>
      </w:r>
      <w:r w:rsidRPr="005E38C3">
        <w:rPr>
          <w:rFonts w:ascii="Lato" w:hAnsi="Lato" w:cs="ArialMT"/>
          <w:sz w:val="22"/>
          <w:szCs w:val="22"/>
        </w:rPr>
        <w:t>riting for all</w:t>
      </w:r>
      <w:r w:rsidR="009954B0" w:rsidRPr="005E38C3">
        <w:rPr>
          <w:rFonts w:ascii="Lato" w:hAnsi="Lato" w:cs="ArialMT"/>
          <w:sz w:val="22"/>
          <w:szCs w:val="22"/>
        </w:rPr>
        <w:t xml:space="preserve"> grade 11 </w:t>
      </w:r>
      <w:r w:rsidRPr="005E38C3">
        <w:rPr>
          <w:rFonts w:ascii="Lato" w:hAnsi="Lato" w:cs="ArialMT"/>
          <w:sz w:val="22"/>
          <w:szCs w:val="22"/>
        </w:rPr>
        <w:t>stud</w:t>
      </w:r>
      <w:r w:rsidR="009954B0" w:rsidRPr="005E38C3">
        <w:rPr>
          <w:rFonts w:ascii="Lato" w:hAnsi="Lato" w:cs="ArialMT"/>
          <w:sz w:val="22"/>
          <w:szCs w:val="22"/>
        </w:rPr>
        <w:t>ents (except those taking DLM).</w:t>
      </w:r>
    </w:p>
    <w:sectPr w:rsidR="009954B0" w:rsidRPr="005E38C3" w:rsidSect="00903BC8">
      <w:headerReference w:type="first" r:id="rId15"/>
      <w:footerReference w:type="first" r:id="rId16"/>
      <w:type w:val="continuous"/>
      <w:pgSz w:w="12240" w:h="15840" w:code="1"/>
      <w:pgMar w:top="1440" w:right="1152" w:bottom="1152" w:left="1152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3E0FC" w14:textId="77777777" w:rsidR="004C3B9E" w:rsidRDefault="004C3B9E" w:rsidP="00617E0C">
      <w:r>
        <w:separator/>
      </w:r>
    </w:p>
  </w:endnote>
  <w:endnote w:type="continuationSeparator" w:id="0">
    <w:p w14:paraId="04B004BE" w14:textId="77777777" w:rsidR="004C3B9E" w:rsidRDefault="004C3B9E" w:rsidP="0061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F0888" w14:textId="77777777" w:rsidR="00872209" w:rsidRPr="0082645C" w:rsidRDefault="00872209" w:rsidP="0082645C">
    <w:pPr>
      <w:pBdr>
        <w:top w:val="single" w:sz="4" w:space="1" w:color="auto"/>
      </w:pBdr>
      <w:ind w:left="-720" w:right="-720"/>
      <w:jc w:val="center"/>
      <w:rPr>
        <w:rFonts w:ascii="Tahoma" w:hAnsi="Tahoma" w:cs="Tahoma"/>
        <w:sz w:val="18"/>
        <w:szCs w:val="18"/>
      </w:rPr>
    </w:pPr>
    <w:r w:rsidRPr="0082645C">
      <w:rPr>
        <w:rFonts w:ascii="Tahoma" w:hAnsi="Tahoma" w:cs="Tahoma"/>
        <w:sz w:val="18"/>
        <w:szCs w:val="18"/>
      </w:rPr>
      <w:t xml:space="preserve">PO Box 7841, Madison, WI  53707-7841  </w:t>
    </w:r>
    <w:r w:rsidRPr="0082645C">
      <w:rPr>
        <w:rFonts w:ascii="Tahoma" w:hAnsi="Tahoma" w:cs="Tahoma"/>
        <w:position w:val="3"/>
        <w:sz w:val="10"/>
        <w:szCs w:val="10"/>
      </w:rPr>
      <w:sym w:font="Wingdings" w:char="F06E"/>
    </w:r>
    <w:r w:rsidRPr="0082645C">
      <w:rPr>
        <w:rFonts w:ascii="Tahoma" w:hAnsi="Tahoma" w:cs="Tahoma"/>
        <w:sz w:val="18"/>
        <w:szCs w:val="18"/>
      </w:rPr>
      <w:t xml:space="preserve">  125 South Webster Street, Madison, WI  53703</w:t>
    </w:r>
  </w:p>
  <w:p w14:paraId="4D871B27" w14:textId="77777777" w:rsidR="00872209" w:rsidRPr="0082645C" w:rsidRDefault="00872209" w:rsidP="0082645C">
    <w:pPr>
      <w:pStyle w:val="Footer"/>
      <w:tabs>
        <w:tab w:val="clear" w:pos="4320"/>
        <w:tab w:val="clear" w:pos="8640"/>
      </w:tabs>
      <w:ind w:left="-720" w:right="-720"/>
      <w:jc w:val="center"/>
      <w:rPr>
        <w:rFonts w:cs="Tahoma"/>
        <w:szCs w:val="18"/>
      </w:rPr>
    </w:pPr>
    <w:r w:rsidRPr="0082645C">
      <w:rPr>
        <w:rFonts w:cs="Tahoma"/>
        <w:szCs w:val="18"/>
      </w:rPr>
      <w:t xml:space="preserve">(608) 266-3390  </w:t>
    </w:r>
    <w:r w:rsidRPr="0082645C">
      <w:rPr>
        <w:rFonts w:cs="Tahoma"/>
        <w:position w:val="3"/>
        <w:sz w:val="10"/>
        <w:szCs w:val="10"/>
      </w:rPr>
      <w:sym w:font="Wingdings" w:char="F06E"/>
    </w:r>
    <w:r w:rsidRPr="0082645C">
      <w:rPr>
        <w:rFonts w:cs="Tahoma"/>
        <w:szCs w:val="18"/>
      </w:rPr>
      <w:t xml:space="preserve">  (800) 441-4563</w:t>
    </w:r>
    <w:r w:rsidR="00226B9F" w:rsidRPr="0082645C">
      <w:rPr>
        <w:rFonts w:cs="Tahoma"/>
        <w:szCs w:val="18"/>
      </w:rPr>
      <w:t xml:space="preserve"> toll free</w:t>
    </w:r>
    <w:r w:rsidRPr="0082645C">
      <w:rPr>
        <w:rFonts w:cs="Tahoma"/>
        <w:szCs w:val="18"/>
      </w:rPr>
      <w:t xml:space="preserve">  </w:t>
    </w:r>
    <w:r w:rsidRPr="0082645C">
      <w:rPr>
        <w:rFonts w:cs="Tahoma"/>
        <w:position w:val="3"/>
        <w:sz w:val="10"/>
        <w:szCs w:val="10"/>
      </w:rPr>
      <w:sym w:font="Wingdings" w:char="F06E"/>
    </w:r>
    <w:r w:rsidRPr="0082645C">
      <w:rPr>
        <w:rFonts w:cs="Tahoma"/>
        <w:szCs w:val="18"/>
      </w:rPr>
      <w:t xml:space="preserve">  dpi.wi.gov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AE2BD" w14:textId="77777777" w:rsidR="004C3B9E" w:rsidRDefault="004C3B9E" w:rsidP="00617E0C">
      <w:r>
        <w:separator/>
      </w:r>
    </w:p>
  </w:footnote>
  <w:footnote w:type="continuationSeparator" w:id="0">
    <w:p w14:paraId="19DA80DB" w14:textId="77777777" w:rsidR="004C3B9E" w:rsidRDefault="004C3B9E" w:rsidP="00617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-605" w:type="dxa"/>
      <w:tblBorders>
        <w:bottom w:val="single" w:sz="4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2880"/>
      <w:gridCol w:w="7920"/>
    </w:tblGrid>
    <w:tr w:rsidR="00872209" w14:paraId="5B4F9955" w14:textId="77777777">
      <w:trPr>
        <w:trHeight w:hRule="exact" w:val="1411"/>
      </w:trPr>
      <w:tc>
        <w:tcPr>
          <w:tcW w:w="2880" w:type="dxa"/>
        </w:tcPr>
        <w:p w14:paraId="6CBDEE68" w14:textId="77777777" w:rsidR="00872209" w:rsidRDefault="00C16FFB" w:rsidP="00617E0C">
          <w:r w:rsidRPr="00671684">
            <w:rPr>
              <w:noProof/>
            </w:rPr>
            <w:drawing>
              <wp:inline distT="0" distB="0" distL="0" distR="0" wp14:anchorId="0A154DEF" wp14:editId="6E5B9247">
                <wp:extent cx="1676400" cy="866775"/>
                <wp:effectExtent l="0" t="0" r="0" b="9525"/>
                <wp:docPr id="1" name="Picture 1" descr="dpi_I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i_I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vAlign w:val="bottom"/>
        </w:tcPr>
        <w:p w14:paraId="4D6FF67B" w14:textId="773E7738" w:rsidR="00872209" w:rsidRPr="00982523" w:rsidRDefault="00C8791F" w:rsidP="00982523">
          <w:pPr>
            <w:spacing w:after="40"/>
            <w:jc w:val="right"/>
            <w:rPr>
              <w:rFonts w:ascii="Tahoma" w:hAnsi="Tahoma" w:cs="Tahoma"/>
              <w:color w:val="000000" w:themeColor="text1"/>
              <w:sz w:val="22"/>
              <w:szCs w:val="22"/>
            </w:rPr>
          </w:pPr>
          <w:r w:rsidRPr="00982523">
            <w:rPr>
              <w:rFonts w:ascii="Tahoma" w:hAnsi="Tahoma" w:cs="Tahoma"/>
              <w:noProof/>
              <w:color w:val="000000" w:themeColor="text1"/>
              <w:sz w:val="22"/>
              <w:szCs w:val="22"/>
            </w:rPr>
            <mc:AlternateContent>
              <mc:Choice Requires="wps">
                <w:drawing>
                  <wp:anchor distT="45720" distB="45720" distL="114300" distR="114300" simplePos="0" relativeHeight="251659264" behindDoc="1" locked="0" layoutInCell="1" allowOverlap="1" wp14:anchorId="4A07A06F" wp14:editId="21A298DE">
                    <wp:simplePos x="0" y="0"/>
                    <wp:positionH relativeFrom="margin">
                      <wp:posOffset>636270</wp:posOffset>
                    </wp:positionH>
                    <wp:positionV relativeFrom="margin">
                      <wp:posOffset>105410</wp:posOffset>
                    </wp:positionV>
                    <wp:extent cx="4838700" cy="1404620"/>
                    <wp:effectExtent l="0" t="0" r="19050" b="1397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3870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CF4E9E" w14:textId="76A1F8C8" w:rsidR="00C8791F" w:rsidRPr="00C8791F" w:rsidRDefault="00C8791F" w:rsidP="00C8791F">
                                <w:pPr>
                                  <w:jc w:val="center"/>
                                  <w:rPr>
                                    <w:rFonts w:ascii="Lato" w:hAnsi="Lato" w:cs="Arial-BoldMT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5C3A2B">
                                  <w:rPr>
                                    <w:rFonts w:ascii="Lato" w:hAnsi="Lato" w:cs="Arial-BoldMT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**EMBARGOED UNTIL </w:t>
                                </w:r>
                                <w:r w:rsidR="005C3A2B" w:rsidRPr="005C3A2B">
                                  <w:rPr>
                                    <w:rFonts w:ascii="Lato" w:hAnsi="Lato" w:cs="Arial-BoldMT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  <w:t>THURSDAY</w:t>
                                </w:r>
                                <w:r w:rsidRPr="005C3A2B">
                                  <w:rPr>
                                    <w:rFonts w:ascii="Lato" w:hAnsi="Lato" w:cs="Arial-BoldMT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r w:rsidR="005C3A2B" w:rsidRPr="005C3A2B">
                                  <w:rPr>
                                    <w:rFonts w:ascii="Lato" w:hAnsi="Lato" w:cs="Arial-BoldMT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  <w:t>SEPTEMBER 12</w:t>
                                </w:r>
                                <w:r w:rsidRPr="005C3A2B">
                                  <w:rPr>
                                    <w:rFonts w:ascii="Lato" w:hAnsi="Lato" w:cs="Arial-BoldMT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UPON RELEASE OF STATEWIDE ASSESSMENT DATA**</w:t>
                                </w:r>
                                <w:r w:rsidRPr="009B218C">
                                  <w:rPr>
                                    <w:rFonts w:ascii="Lato" w:hAnsi="Lato" w:cs="Arial-BoldMT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07A06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50.1pt;margin-top:8.3pt;width:381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4WJQIAAEcEAAAOAAAAZHJzL2Uyb0RvYy54bWysU9tu2zAMfR+wfxD0vvgyp0mNOEWXLsOA&#10;7gK0+wBZlmNhsqhJSuzs60vJaRZ028swPQiiSB2R55Crm7FX5CCsk6Arms1SSoTm0Ei9q+i3x+2b&#10;JSXOM90wBVpU9CgcvVm/frUaTCly6EA1whIE0a4cTEU7702ZJI53omduBkZodLZge+bRtLuksWxA&#10;9F4leZpeJQPYxljgwjm8vZucdB3x21Zw/6VtnfBEVRRz83G3ca/DnqxXrNxZZjrJT2mwf8iiZ1Lj&#10;p2eoO+YZ2Vv5G1QvuQUHrZ9x6BNoW8lFrAGrydIX1Tx0zIhYC5LjzJkm9/9g+efDV0tkU9E8W1Ci&#10;WY8iPYrRk3cwkjzwMxhXYtiDwUA/4jXqHGt15h74d0c0bDqmd+LWWhg6wRrMLwsvk4unE44LIPXw&#10;CRr8hu09RKCxtX0gD+kgiI46Hc/ahFQ4XhbLt8tFii6OvqxIi6s8qpew8vm5sc5/ENCTcKioRfEj&#10;PDvcOx/SYeVzSPjNgZLNVioVDburN8qSA8NG2cYVK3gRpjQZKno9z+cTA3+FSOP6E0QvPXa8kn1F&#10;l+cgVgbe3usm9qNnUk1nTFnpE5GBu4lFP9bjSZgamiNSamHqbJxEPHRgf1IyYFdX1P3YMysoUR81&#10;ynKdFUUYg2gU8wVySOylp770MM0RqqKekum48XF0ImHmFuXbykhs0HnK5JQrdmvk+zRZYRwu7Rj1&#10;a/7XTwAAAP//AwBQSwMEFAAGAAgAAAAhABHVR8zeAAAACgEAAA8AAABkcnMvZG93bnJldi54bWxM&#10;j8FOwzAQRO9I/IO1lbhRu0GEKMSpEFXPlIKEuDm2G0eN1yF205SvZznBbWd3NPumWs++Z5MdYxdQ&#10;wmopgFnUwXTYSnh/294WwGJSaFQf0Eq42Ajr+vqqUqUJZ3y10z61jEIwlkqCS2koOY/aWa/iMgwW&#10;6XYIo1eJ5NhyM6ozhfueZ0Lk3KsO6YNTg312Vh/3Jy8hbnZfgz7smqMzl++XzXSvP7afUt4s5qdH&#10;YMnO6c8Mv/iEDjUxNeGEJrKetBAZWWnIc2BkKPKMFo2E7O6hAF5X/H+F+gcAAP//AwBQSwECLQAU&#10;AAYACAAAACEAtoM4kv4AAADhAQAAEwAAAAAAAAAAAAAAAAAAAAAAW0NvbnRlbnRfVHlwZXNdLnht&#10;bFBLAQItABQABgAIAAAAIQA4/SH/1gAAAJQBAAALAAAAAAAAAAAAAAAAAC8BAABfcmVscy8ucmVs&#10;c1BLAQItABQABgAIAAAAIQAiNO4WJQIAAEcEAAAOAAAAAAAAAAAAAAAAAC4CAABkcnMvZTJvRG9j&#10;LnhtbFBLAQItABQABgAIAAAAIQAR1UfM3gAAAAoBAAAPAAAAAAAAAAAAAAAAAH8EAABkcnMvZG93&#10;bnJldi54bWxQSwUGAAAAAAQABADzAAAAigUAAAAA&#10;">
                    <v:textbox style="mso-fit-shape-to-text:t">
                      <w:txbxContent>
                        <w:p w14:paraId="75CF4E9E" w14:textId="76A1F8C8" w:rsidR="00C8791F" w:rsidRPr="00C8791F" w:rsidRDefault="00C8791F" w:rsidP="00C8791F">
                          <w:pPr>
                            <w:jc w:val="center"/>
                            <w:rPr>
                              <w:rFonts w:ascii="Lato" w:hAnsi="Lato" w:cs="Arial-BoldMT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</w:pPr>
                          <w:r w:rsidRPr="005C3A2B">
                            <w:rPr>
                              <w:rFonts w:ascii="Lato" w:hAnsi="Lato" w:cs="Arial-BoldMT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 xml:space="preserve">**EMBARGOED UNTIL </w:t>
                          </w:r>
                          <w:r w:rsidR="005C3A2B" w:rsidRPr="005C3A2B">
                            <w:rPr>
                              <w:rFonts w:ascii="Lato" w:hAnsi="Lato" w:cs="Arial-BoldMT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THURSDAY</w:t>
                          </w:r>
                          <w:r w:rsidRPr="005C3A2B">
                            <w:rPr>
                              <w:rFonts w:ascii="Lato" w:hAnsi="Lato" w:cs="Arial-BoldMT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 xml:space="preserve">, </w:t>
                          </w:r>
                          <w:r w:rsidR="005C3A2B" w:rsidRPr="005C3A2B">
                            <w:rPr>
                              <w:rFonts w:ascii="Lato" w:hAnsi="Lato" w:cs="Arial-BoldMT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SEPTEMBER 12</w:t>
                          </w:r>
                          <w:r w:rsidRPr="005C3A2B">
                            <w:rPr>
                              <w:rFonts w:ascii="Lato" w:hAnsi="Lato" w:cs="Arial-BoldMT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 xml:space="preserve"> UPON RELEASE OF STATEWIDE ASSESSMENT DATA**</w:t>
                          </w:r>
                          <w:r w:rsidRPr="009B218C">
                            <w:rPr>
                              <w:rFonts w:ascii="Lato" w:hAnsi="Lato" w:cs="Arial-BoldMT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0F3B01" w:rsidRPr="00982523">
            <w:rPr>
              <w:rFonts w:ascii="Source Sans Pro" w:hAnsi="Source Sans Pro"/>
              <w:color w:val="000000" w:themeColor="text1"/>
              <w:sz w:val="26"/>
              <w:szCs w:val="26"/>
              <w:shd w:val="clear" w:color="auto" w:fill="FFFFFF"/>
            </w:rPr>
            <w:t xml:space="preserve"> </w:t>
          </w:r>
          <w:r w:rsidR="00982523">
            <w:rPr>
              <w:rFonts w:ascii="Tahoma" w:hAnsi="Tahoma" w:cs="Tahoma"/>
              <w:color w:val="000000" w:themeColor="text1"/>
              <w:sz w:val="22"/>
              <w:szCs w:val="22"/>
            </w:rPr>
            <w:t xml:space="preserve">Carolyn Stanford Taylor, </w:t>
          </w:r>
          <w:r w:rsidR="00872209" w:rsidRPr="00982523">
            <w:rPr>
              <w:rFonts w:ascii="Tahoma" w:hAnsi="Tahoma" w:cs="Tahoma"/>
              <w:color w:val="000000" w:themeColor="text1"/>
              <w:sz w:val="22"/>
              <w:szCs w:val="22"/>
            </w:rPr>
            <w:t>State Superintendent</w:t>
          </w:r>
        </w:p>
      </w:tc>
    </w:tr>
  </w:tbl>
  <w:p w14:paraId="17BA4B1E" w14:textId="77777777" w:rsidR="00872209" w:rsidRPr="00617E0C" w:rsidRDefault="00872209" w:rsidP="00617E0C">
    <w:pPr>
      <w:pStyle w:val="Header"/>
      <w:tabs>
        <w:tab w:val="clear" w:pos="4320"/>
        <w:tab w:val="clear" w:pos="8640"/>
      </w:tabs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6F0"/>
    <w:multiLevelType w:val="hybridMultilevel"/>
    <w:tmpl w:val="484267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31D18"/>
    <w:multiLevelType w:val="multilevel"/>
    <w:tmpl w:val="8D1E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D912963"/>
    <w:multiLevelType w:val="hybridMultilevel"/>
    <w:tmpl w:val="C750E4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8F3408"/>
    <w:multiLevelType w:val="hybridMultilevel"/>
    <w:tmpl w:val="A12C9F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C93720"/>
    <w:multiLevelType w:val="hybridMultilevel"/>
    <w:tmpl w:val="238E49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71F7EAC"/>
    <w:multiLevelType w:val="multilevel"/>
    <w:tmpl w:val="A19A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E5D659A"/>
    <w:multiLevelType w:val="hybridMultilevel"/>
    <w:tmpl w:val="3B02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3634F"/>
    <w:multiLevelType w:val="multilevel"/>
    <w:tmpl w:val="8D1E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9344A9E"/>
    <w:multiLevelType w:val="hybridMultilevel"/>
    <w:tmpl w:val="486830BE"/>
    <w:lvl w:ilvl="0" w:tplc="0B16AA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609D8"/>
    <w:multiLevelType w:val="multilevel"/>
    <w:tmpl w:val="BB52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1F761A4"/>
    <w:multiLevelType w:val="hybridMultilevel"/>
    <w:tmpl w:val="CB589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9B5DF9"/>
    <w:multiLevelType w:val="multilevel"/>
    <w:tmpl w:val="CC4E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47C0426"/>
    <w:multiLevelType w:val="hybridMultilevel"/>
    <w:tmpl w:val="484267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B34AD9"/>
    <w:multiLevelType w:val="hybridMultilevel"/>
    <w:tmpl w:val="7556C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5E6A82"/>
    <w:multiLevelType w:val="hybridMultilevel"/>
    <w:tmpl w:val="949A3BA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0B16F74"/>
    <w:multiLevelType w:val="hybridMultilevel"/>
    <w:tmpl w:val="F698B5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A45357"/>
    <w:multiLevelType w:val="hybridMultilevel"/>
    <w:tmpl w:val="0778C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CA21D1"/>
    <w:multiLevelType w:val="hybridMultilevel"/>
    <w:tmpl w:val="484267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00388A"/>
    <w:multiLevelType w:val="hybridMultilevel"/>
    <w:tmpl w:val="6594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B74571"/>
    <w:multiLevelType w:val="hybridMultilevel"/>
    <w:tmpl w:val="835E1F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05FB7"/>
    <w:multiLevelType w:val="hybridMultilevel"/>
    <w:tmpl w:val="86D2C39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9833927"/>
    <w:multiLevelType w:val="hybridMultilevel"/>
    <w:tmpl w:val="A63257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8792E"/>
    <w:multiLevelType w:val="hybridMultilevel"/>
    <w:tmpl w:val="4EF682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6616D"/>
    <w:multiLevelType w:val="hybridMultilevel"/>
    <w:tmpl w:val="484267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F737DD9"/>
    <w:multiLevelType w:val="multilevel"/>
    <w:tmpl w:val="7DAA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5FF20CE9"/>
    <w:multiLevelType w:val="hybridMultilevel"/>
    <w:tmpl w:val="FDF4458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10D69DC"/>
    <w:multiLevelType w:val="hybridMultilevel"/>
    <w:tmpl w:val="D75A32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23BCC"/>
    <w:multiLevelType w:val="hybridMultilevel"/>
    <w:tmpl w:val="62FCF3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EF42F8"/>
    <w:multiLevelType w:val="multilevel"/>
    <w:tmpl w:val="EC728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E131E90"/>
    <w:multiLevelType w:val="hybridMultilevel"/>
    <w:tmpl w:val="484267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7A09AF"/>
    <w:multiLevelType w:val="hybridMultilevel"/>
    <w:tmpl w:val="EB163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5C0A3C"/>
    <w:multiLevelType w:val="multilevel"/>
    <w:tmpl w:val="C75C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7DA86709"/>
    <w:multiLevelType w:val="hybridMultilevel"/>
    <w:tmpl w:val="1D326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205E9"/>
    <w:multiLevelType w:val="hybridMultilevel"/>
    <w:tmpl w:val="2B443232"/>
    <w:lvl w:ilvl="0" w:tplc="6316C91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5"/>
  </w:num>
  <w:num w:numId="7">
    <w:abstractNumId w:val="26"/>
  </w:num>
  <w:num w:numId="8">
    <w:abstractNumId w:val="19"/>
  </w:num>
  <w:num w:numId="9">
    <w:abstractNumId w:val="29"/>
  </w:num>
  <w:num w:numId="10">
    <w:abstractNumId w:val="11"/>
  </w:num>
  <w:num w:numId="11">
    <w:abstractNumId w:val="31"/>
  </w:num>
  <w:num w:numId="12">
    <w:abstractNumId w:val="21"/>
  </w:num>
  <w:num w:numId="13">
    <w:abstractNumId w:val="22"/>
  </w:num>
  <w:num w:numId="14">
    <w:abstractNumId w:val="24"/>
  </w:num>
  <w:num w:numId="15">
    <w:abstractNumId w:val="28"/>
  </w:num>
  <w:num w:numId="16">
    <w:abstractNumId w:val="0"/>
  </w:num>
  <w:num w:numId="17">
    <w:abstractNumId w:val="23"/>
  </w:num>
  <w:num w:numId="18">
    <w:abstractNumId w:val="17"/>
  </w:num>
  <w:num w:numId="19">
    <w:abstractNumId w:val="12"/>
  </w:num>
  <w:num w:numId="20">
    <w:abstractNumId w:val="1"/>
  </w:num>
  <w:num w:numId="21">
    <w:abstractNumId w:val="9"/>
  </w:num>
  <w:num w:numId="22">
    <w:abstractNumId w:val="33"/>
  </w:num>
  <w:num w:numId="23">
    <w:abstractNumId w:val="8"/>
  </w:num>
  <w:num w:numId="24">
    <w:abstractNumId w:val="6"/>
  </w:num>
  <w:num w:numId="25">
    <w:abstractNumId w:val="10"/>
  </w:num>
  <w:num w:numId="26">
    <w:abstractNumId w:val="30"/>
  </w:num>
  <w:num w:numId="27">
    <w:abstractNumId w:val="27"/>
  </w:num>
  <w:num w:numId="28">
    <w:abstractNumId w:val="2"/>
  </w:num>
  <w:num w:numId="29">
    <w:abstractNumId w:val="18"/>
  </w:num>
  <w:num w:numId="30">
    <w:abstractNumId w:val="16"/>
  </w:num>
  <w:num w:numId="31">
    <w:abstractNumId w:val="14"/>
  </w:num>
  <w:num w:numId="32">
    <w:abstractNumId w:val="15"/>
  </w:num>
  <w:num w:numId="33">
    <w:abstractNumId w:val="3"/>
  </w:num>
  <w:num w:numId="34">
    <w:abstractNumId w:val="4"/>
  </w:num>
  <w:num w:numId="35">
    <w:abstractNumId w:val="20"/>
  </w:num>
  <w:num w:numId="36">
    <w:abstractNumId w:val="2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igatureDocument" w:val="0"/>
  </w:docVars>
  <w:rsids>
    <w:rsidRoot w:val="00584EB6"/>
    <w:rsid w:val="000478B0"/>
    <w:rsid w:val="00057654"/>
    <w:rsid w:val="000A2DC4"/>
    <w:rsid w:val="000C15E7"/>
    <w:rsid w:val="000F3B01"/>
    <w:rsid w:val="001350D3"/>
    <w:rsid w:val="00145C2C"/>
    <w:rsid w:val="0017385A"/>
    <w:rsid w:val="00190BB5"/>
    <w:rsid w:val="001C2954"/>
    <w:rsid w:val="001E2156"/>
    <w:rsid w:val="001E53AC"/>
    <w:rsid w:val="0021579A"/>
    <w:rsid w:val="00226B9F"/>
    <w:rsid w:val="00244529"/>
    <w:rsid w:val="00274F95"/>
    <w:rsid w:val="002809C7"/>
    <w:rsid w:val="002A2371"/>
    <w:rsid w:val="002A52B1"/>
    <w:rsid w:val="002B1455"/>
    <w:rsid w:val="002B2687"/>
    <w:rsid w:val="002F10B8"/>
    <w:rsid w:val="002F5333"/>
    <w:rsid w:val="00333F5A"/>
    <w:rsid w:val="003416A5"/>
    <w:rsid w:val="0036261C"/>
    <w:rsid w:val="00366B3C"/>
    <w:rsid w:val="00376C47"/>
    <w:rsid w:val="003A495D"/>
    <w:rsid w:val="003D1606"/>
    <w:rsid w:val="003E631F"/>
    <w:rsid w:val="003E639F"/>
    <w:rsid w:val="003F15F5"/>
    <w:rsid w:val="003F2588"/>
    <w:rsid w:val="003F5775"/>
    <w:rsid w:val="00401666"/>
    <w:rsid w:val="00403F4F"/>
    <w:rsid w:val="004160D2"/>
    <w:rsid w:val="0042664A"/>
    <w:rsid w:val="00475B2A"/>
    <w:rsid w:val="00491A33"/>
    <w:rsid w:val="004B1E92"/>
    <w:rsid w:val="004C3B9E"/>
    <w:rsid w:val="00517BB1"/>
    <w:rsid w:val="00524E34"/>
    <w:rsid w:val="00532442"/>
    <w:rsid w:val="00543C21"/>
    <w:rsid w:val="00584EB6"/>
    <w:rsid w:val="00590E50"/>
    <w:rsid w:val="005B444C"/>
    <w:rsid w:val="005C3A2B"/>
    <w:rsid w:val="005C7BE9"/>
    <w:rsid w:val="005E1CD3"/>
    <w:rsid w:val="005E38C3"/>
    <w:rsid w:val="005E74DA"/>
    <w:rsid w:val="00601FD7"/>
    <w:rsid w:val="00616740"/>
    <w:rsid w:val="00617E0C"/>
    <w:rsid w:val="00630355"/>
    <w:rsid w:val="006322C3"/>
    <w:rsid w:val="00633800"/>
    <w:rsid w:val="00635E7A"/>
    <w:rsid w:val="00655BB9"/>
    <w:rsid w:val="00671684"/>
    <w:rsid w:val="00683BD5"/>
    <w:rsid w:val="00683E7F"/>
    <w:rsid w:val="00696DCC"/>
    <w:rsid w:val="006B118E"/>
    <w:rsid w:val="006D664A"/>
    <w:rsid w:val="00702DCB"/>
    <w:rsid w:val="00704D45"/>
    <w:rsid w:val="00716CF0"/>
    <w:rsid w:val="00766785"/>
    <w:rsid w:val="00775196"/>
    <w:rsid w:val="007A4751"/>
    <w:rsid w:val="007C577D"/>
    <w:rsid w:val="007E5840"/>
    <w:rsid w:val="0080525C"/>
    <w:rsid w:val="0082645C"/>
    <w:rsid w:val="00834526"/>
    <w:rsid w:val="00872209"/>
    <w:rsid w:val="00873BDD"/>
    <w:rsid w:val="00884DD5"/>
    <w:rsid w:val="00885542"/>
    <w:rsid w:val="00892235"/>
    <w:rsid w:val="008A6F24"/>
    <w:rsid w:val="008B5777"/>
    <w:rsid w:val="008D319B"/>
    <w:rsid w:val="00903BC8"/>
    <w:rsid w:val="009043A3"/>
    <w:rsid w:val="00905DF1"/>
    <w:rsid w:val="00906A9B"/>
    <w:rsid w:val="009076BE"/>
    <w:rsid w:val="009111DA"/>
    <w:rsid w:val="009754C8"/>
    <w:rsid w:val="00982523"/>
    <w:rsid w:val="009931CA"/>
    <w:rsid w:val="009954B0"/>
    <w:rsid w:val="009B218C"/>
    <w:rsid w:val="009C0724"/>
    <w:rsid w:val="009C369F"/>
    <w:rsid w:val="009C7222"/>
    <w:rsid w:val="00A06A99"/>
    <w:rsid w:val="00A26307"/>
    <w:rsid w:val="00A457FC"/>
    <w:rsid w:val="00A47F6E"/>
    <w:rsid w:val="00A6220B"/>
    <w:rsid w:val="00A645CB"/>
    <w:rsid w:val="00A9105D"/>
    <w:rsid w:val="00AA05EB"/>
    <w:rsid w:val="00AD173B"/>
    <w:rsid w:val="00AE1030"/>
    <w:rsid w:val="00AE2712"/>
    <w:rsid w:val="00B36240"/>
    <w:rsid w:val="00B43C1C"/>
    <w:rsid w:val="00B451D5"/>
    <w:rsid w:val="00B46060"/>
    <w:rsid w:val="00B54DBC"/>
    <w:rsid w:val="00BA6EFC"/>
    <w:rsid w:val="00BB5D5A"/>
    <w:rsid w:val="00BC718C"/>
    <w:rsid w:val="00BC7710"/>
    <w:rsid w:val="00BF418B"/>
    <w:rsid w:val="00BF4F22"/>
    <w:rsid w:val="00C07916"/>
    <w:rsid w:val="00C16FFB"/>
    <w:rsid w:val="00C211CD"/>
    <w:rsid w:val="00C57638"/>
    <w:rsid w:val="00C773E1"/>
    <w:rsid w:val="00C82A1D"/>
    <w:rsid w:val="00C859B4"/>
    <w:rsid w:val="00C8791F"/>
    <w:rsid w:val="00C92A2B"/>
    <w:rsid w:val="00C9686F"/>
    <w:rsid w:val="00CC5DED"/>
    <w:rsid w:val="00CE3C83"/>
    <w:rsid w:val="00CE53E1"/>
    <w:rsid w:val="00D07C16"/>
    <w:rsid w:val="00D21F75"/>
    <w:rsid w:val="00D42346"/>
    <w:rsid w:val="00D93143"/>
    <w:rsid w:val="00DB20C3"/>
    <w:rsid w:val="00DB4C72"/>
    <w:rsid w:val="00E27246"/>
    <w:rsid w:val="00E30194"/>
    <w:rsid w:val="00E33826"/>
    <w:rsid w:val="00E35082"/>
    <w:rsid w:val="00E65CBC"/>
    <w:rsid w:val="00E716F9"/>
    <w:rsid w:val="00E76521"/>
    <w:rsid w:val="00EA07A9"/>
    <w:rsid w:val="00EB7989"/>
    <w:rsid w:val="00F00FD1"/>
    <w:rsid w:val="00F4707E"/>
    <w:rsid w:val="00F53F9D"/>
    <w:rsid w:val="00F543C6"/>
    <w:rsid w:val="00F96968"/>
    <w:rsid w:val="00FA4842"/>
    <w:rsid w:val="00FA7134"/>
    <w:rsid w:val="00FB154B"/>
    <w:rsid w:val="00F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23B1C2"/>
  <w15:chartTrackingRefBased/>
  <w15:docId w15:val="{D244DF0A-E49F-48C4-BD1B-9D968F92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E0C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FF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5D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3EF"/>
    <w:pPr>
      <w:tabs>
        <w:tab w:val="center" w:pos="4320"/>
        <w:tab w:val="right" w:pos="8640"/>
      </w:tabs>
    </w:pPr>
    <w:rPr>
      <w:rFonts w:ascii="Tahoma" w:hAnsi="Tahoma"/>
      <w:sz w:val="18"/>
    </w:rPr>
  </w:style>
  <w:style w:type="character" w:styleId="Hyperlink">
    <w:name w:val="Hyperlink"/>
    <w:basedOn w:val="DefaultParagraphFont"/>
    <w:rsid w:val="00BB5D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9F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6FF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ListParagraph">
    <w:name w:val="List Paragraph"/>
    <w:basedOn w:val="Normal"/>
    <w:uiPriority w:val="72"/>
    <w:rsid w:val="009111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5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3AC"/>
    <w:rPr>
      <w:rFonts w:ascii="Times" w:hAnsi="Times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3AC"/>
    <w:rPr>
      <w:rFonts w:ascii="Times" w:hAnsi="Times"/>
      <w:b/>
      <w:bCs/>
      <w:color w:val="000000"/>
    </w:rPr>
  </w:style>
  <w:style w:type="paragraph" w:styleId="BodyText">
    <w:name w:val="Body Text"/>
    <w:basedOn w:val="Normal"/>
    <w:link w:val="BodyTextChar"/>
    <w:rsid w:val="00905DF1"/>
    <w:pPr>
      <w:widowControl/>
      <w:tabs>
        <w:tab w:val="left" w:pos="720"/>
      </w:tabs>
      <w:autoSpaceDE/>
      <w:autoSpaceDN/>
      <w:adjustRightInd/>
      <w:spacing w:line="439" w:lineRule="auto"/>
    </w:pPr>
    <w:rPr>
      <w:rFonts w:ascii="Times New Roman" w:hAnsi="Times New Roman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05DF1"/>
  </w:style>
  <w:style w:type="character" w:styleId="FollowedHyperlink">
    <w:name w:val="FollowedHyperlink"/>
    <w:basedOn w:val="DefaultParagraphFont"/>
    <w:uiPriority w:val="99"/>
    <w:semiHidden/>
    <w:unhideWhenUsed/>
    <w:rsid w:val="00601FD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F3B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assessment/ACT/data/act" TargetMode="External"/><Relationship Id="rId13" Type="http://schemas.openxmlformats.org/officeDocument/2006/relationships/hyperlink" Target="http://dpi.wi.gov/assessment/forward/dat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pi.wi.gov/wisedash/districts/about-data/aspire" TargetMode="External"/><Relationship Id="rId12" Type="http://schemas.openxmlformats.org/officeDocument/2006/relationships/hyperlink" Target="https://dpi.wi.gov/assessment/dlm/dat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pi.wi.gov/assessment/dlm/resourc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pi.wi.gov/wisedash/districts/about-data/aspi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pi.wi.gov/assessment/act/data/act-proficiency" TargetMode="External"/><Relationship Id="rId14" Type="http://schemas.openxmlformats.org/officeDocument/2006/relationships/hyperlink" Target="https://dpi.wi.gov/sites/default/files/imce/assessment/pdf/User%27s%20Guide%20to%20Interpreting%20Reports%202016-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Somasundaram, Visalakshi   DPI</dc:creator>
  <cp:lastModifiedBy>Zellmer, Lauren L.   DPI</cp:lastModifiedBy>
  <cp:revision>20</cp:revision>
  <cp:lastPrinted>2019-09-10T17:38:00Z</cp:lastPrinted>
  <dcterms:created xsi:type="dcterms:W3CDTF">2019-09-05T19:22:00Z</dcterms:created>
  <dcterms:modified xsi:type="dcterms:W3CDTF">2019-09-10T17:42:00Z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