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08658C5"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Estimados padres y tutores:</w:t>
      </w:r>
    </w:p>
    <w:p w14:paraId="00000002" w14:textId="19F005FF"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 xml:space="preserve">Los estudiantes de Wisconsin de </w:t>
      </w:r>
      <w:proofErr w:type="gramStart"/>
      <w:r w:rsidRPr="00476C4D">
        <w:rPr>
          <w:rFonts w:ascii="Lato" w:hAnsi="Lato"/>
          <w:sz w:val="22"/>
          <w:szCs w:val="22"/>
        </w:rPr>
        <w:t>3.°</w:t>
      </w:r>
      <w:proofErr w:type="gramEnd"/>
      <w:r w:rsidRPr="00476C4D">
        <w:rPr>
          <w:rFonts w:ascii="Lato" w:hAnsi="Lato"/>
          <w:sz w:val="22"/>
          <w:szCs w:val="22"/>
        </w:rPr>
        <w:t xml:space="preserve"> a 8.° y 10.° grado participarán del Forward </w:t>
      </w:r>
      <w:proofErr w:type="spellStart"/>
      <w:r w:rsidRPr="00476C4D">
        <w:rPr>
          <w:rFonts w:ascii="Lato" w:hAnsi="Lato"/>
          <w:sz w:val="22"/>
          <w:szCs w:val="22"/>
        </w:rPr>
        <w:t>Exam</w:t>
      </w:r>
      <w:proofErr w:type="spellEnd"/>
      <w:r w:rsidRPr="00476C4D">
        <w:rPr>
          <w:rFonts w:ascii="Lato" w:hAnsi="Lato"/>
          <w:sz w:val="22"/>
          <w:szCs w:val="22"/>
        </w:rPr>
        <w:t xml:space="preserve"> durante el período de prueba </w:t>
      </w:r>
      <w:r w:rsidR="00476C4D" w:rsidRPr="00476C4D">
        <w:rPr>
          <w:rFonts w:ascii="Lato" w:hAnsi="Lato"/>
          <w:sz w:val="22"/>
          <w:szCs w:val="22"/>
        </w:rPr>
        <w:t>del 22 de marzo al 14 de mayo</w:t>
      </w:r>
      <w:r w:rsidRPr="00476C4D">
        <w:rPr>
          <w:rFonts w:ascii="Lato" w:hAnsi="Lato"/>
          <w:sz w:val="22"/>
          <w:szCs w:val="22"/>
        </w:rPr>
        <w:t xml:space="preserve">.  Las evaluaciones estatales, incluida Forward </w:t>
      </w:r>
      <w:proofErr w:type="spellStart"/>
      <w:r w:rsidRPr="00476C4D">
        <w:rPr>
          <w:rFonts w:ascii="Lato" w:hAnsi="Lato"/>
          <w:sz w:val="22"/>
          <w:szCs w:val="22"/>
        </w:rPr>
        <w:t>Exam</w:t>
      </w:r>
      <w:proofErr w:type="spellEnd"/>
      <w:r w:rsidRPr="00476C4D">
        <w:rPr>
          <w:rFonts w:ascii="Lato" w:hAnsi="Lato"/>
          <w:sz w:val="22"/>
          <w:szCs w:val="22"/>
        </w:rPr>
        <w:t xml:space="preserve">, son requeridas tanto por la ley estatal (Estatuto de Wisconsin </w:t>
      </w:r>
      <w:r w:rsidRPr="00476C4D">
        <w:rPr>
          <w:rFonts w:ascii="Lato" w:hAnsi="Lato"/>
          <w:sz w:val="22"/>
          <w:szCs w:val="22"/>
          <w:shd w:val="clear" w:color="auto" w:fill="FFFFF2"/>
        </w:rPr>
        <w:t xml:space="preserve">§ </w:t>
      </w:r>
      <w:r w:rsidRPr="00476C4D">
        <w:rPr>
          <w:rFonts w:ascii="Lato" w:hAnsi="Lato"/>
          <w:sz w:val="22"/>
          <w:szCs w:val="22"/>
        </w:rPr>
        <w:t xml:space="preserve">118.30) como federal (Ley Cada Estudiante Triunfa, ESSA). La participación en las evaluaciones estatales puede ayudar a determinar el impacto que ha tenido la pandemia en </w:t>
      </w:r>
      <w:bookmarkStart w:id="0" w:name="_GoBack"/>
      <w:bookmarkEnd w:id="0"/>
      <w:r w:rsidRPr="00476C4D">
        <w:rPr>
          <w:rFonts w:ascii="Lato" w:hAnsi="Lato"/>
          <w:sz w:val="22"/>
          <w:szCs w:val="22"/>
        </w:rPr>
        <w:t xml:space="preserve">el desempeño académico y la equidad. Una evaluación equitativa es importante porque el primer paso para cerrar las brechas de rendimiento es conocer el desempeño de todos los estudiantes. Debemos conocer con exactitud las brechas que existen, sus dimensiones y su persistencia. Nuestra escuela tiene programado la evaluación Forward para el _______________.  </w:t>
      </w:r>
    </w:p>
    <w:p w14:paraId="00000003" w14:textId="77777777"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00000004" w14:textId="77777777" w:rsidR="007B1A64" w:rsidRPr="00476C4D" w:rsidRDefault="00A9640D">
      <w:pPr>
        <w:spacing w:before="240" w:after="240"/>
        <w:ind w:left="0" w:right="0"/>
        <w:rPr>
          <w:rFonts w:ascii="Lato" w:eastAsia="Lato" w:hAnsi="Lato" w:cs="Lato"/>
          <w:i/>
          <w:sz w:val="22"/>
          <w:szCs w:val="22"/>
        </w:rPr>
      </w:pPr>
      <w:r w:rsidRPr="00476C4D">
        <w:rPr>
          <w:rFonts w:ascii="Lato" w:hAnsi="Lato"/>
          <w:sz w:val="22"/>
          <w:szCs w:val="22"/>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476C4D">
        <w:rPr>
          <w:rFonts w:ascii="Lato" w:hAnsi="Lato"/>
          <w:i/>
          <w:sz w:val="22"/>
          <w:szCs w:val="22"/>
        </w:rPr>
        <w:t>[</w:t>
      </w:r>
      <w:proofErr w:type="spellStart"/>
      <w:r w:rsidRPr="00476C4D">
        <w:rPr>
          <w:rFonts w:ascii="Lato" w:hAnsi="Lato"/>
          <w:i/>
          <w:sz w:val="22"/>
          <w:szCs w:val="22"/>
        </w:rPr>
        <w:t>Please</w:t>
      </w:r>
      <w:proofErr w:type="spellEnd"/>
      <w:r w:rsidRPr="00476C4D">
        <w:rPr>
          <w:rFonts w:ascii="Lato" w:hAnsi="Lato"/>
          <w:i/>
          <w:sz w:val="22"/>
          <w:szCs w:val="22"/>
        </w:rPr>
        <w:t xml:space="preserve"> </w:t>
      </w:r>
      <w:proofErr w:type="spellStart"/>
      <w:r w:rsidRPr="00476C4D">
        <w:rPr>
          <w:rFonts w:ascii="Lato" w:hAnsi="Lato"/>
          <w:i/>
          <w:sz w:val="22"/>
          <w:szCs w:val="22"/>
        </w:rPr>
        <w:t>customize</w:t>
      </w:r>
      <w:proofErr w:type="spellEnd"/>
      <w:r w:rsidRPr="00476C4D">
        <w:rPr>
          <w:rFonts w:ascii="Lato" w:hAnsi="Lato"/>
          <w:i/>
          <w:sz w:val="22"/>
          <w:szCs w:val="22"/>
        </w:rPr>
        <w:t xml:space="preserve"> to </w:t>
      </w:r>
      <w:proofErr w:type="spellStart"/>
      <w:r w:rsidRPr="00476C4D">
        <w:rPr>
          <w:rFonts w:ascii="Lato" w:hAnsi="Lato"/>
          <w:i/>
          <w:sz w:val="22"/>
          <w:szCs w:val="22"/>
        </w:rPr>
        <w:t>fit</w:t>
      </w:r>
      <w:proofErr w:type="spellEnd"/>
      <w:r w:rsidRPr="00476C4D">
        <w:rPr>
          <w:rFonts w:ascii="Lato" w:hAnsi="Lato"/>
          <w:i/>
          <w:sz w:val="22"/>
          <w:szCs w:val="22"/>
        </w:rPr>
        <w:t xml:space="preserve"> </w:t>
      </w:r>
      <w:proofErr w:type="spellStart"/>
      <w:r w:rsidRPr="00476C4D">
        <w:rPr>
          <w:rFonts w:ascii="Lato" w:hAnsi="Lato"/>
          <w:i/>
          <w:sz w:val="22"/>
          <w:szCs w:val="22"/>
        </w:rPr>
        <w:t>your</w:t>
      </w:r>
      <w:proofErr w:type="spellEnd"/>
      <w:r w:rsidRPr="00476C4D">
        <w:rPr>
          <w:rFonts w:ascii="Lato" w:hAnsi="Lato"/>
          <w:i/>
          <w:sz w:val="22"/>
          <w:szCs w:val="22"/>
        </w:rPr>
        <w:t xml:space="preserve"> </w:t>
      </w:r>
      <w:proofErr w:type="spellStart"/>
      <w:r w:rsidRPr="00476C4D">
        <w:rPr>
          <w:rFonts w:ascii="Lato" w:hAnsi="Lato"/>
          <w:i/>
          <w:sz w:val="22"/>
          <w:szCs w:val="22"/>
        </w:rPr>
        <w:t>school’s</w:t>
      </w:r>
      <w:proofErr w:type="spellEnd"/>
      <w:r w:rsidRPr="00476C4D">
        <w:rPr>
          <w:rFonts w:ascii="Lato" w:hAnsi="Lato"/>
          <w:i/>
          <w:sz w:val="22"/>
          <w:szCs w:val="22"/>
        </w:rPr>
        <w:t xml:space="preserve"> </w:t>
      </w:r>
      <w:proofErr w:type="spellStart"/>
      <w:r w:rsidRPr="00476C4D">
        <w:rPr>
          <w:rFonts w:ascii="Lato" w:hAnsi="Lato"/>
          <w:i/>
          <w:sz w:val="22"/>
          <w:szCs w:val="22"/>
        </w:rPr>
        <w:t>plans</w:t>
      </w:r>
      <w:proofErr w:type="spellEnd"/>
      <w:r w:rsidRPr="00476C4D">
        <w:rPr>
          <w:rFonts w:ascii="Lato" w:hAnsi="Lato"/>
          <w:i/>
          <w:sz w:val="22"/>
          <w:szCs w:val="22"/>
        </w:rPr>
        <w:t xml:space="preserve"> and/</w:t>
      </w:r>
      <w:proofErr w:type="spellStart"/>
      <w:r w:rsidRPr="00476C4D">
        <w:rPr>
          <w:rFonts w:ascii="Lato" w:hAnsi="Lato"/>
          <w:i/>
          <w:sz w:val="22"/>
          <w:szCs w:val="22"/>
        </w:rPr>
        <w:t>or</w:t>
      </w:r>
      <w:proofErr w:type="spellEnd"/>
      <w:r w:rsidRPr="00476C4D">
        <w:rPr>
          <w:rFonts w:ascii="Lato" w:hAnsi="Lato"/>
          <w:i/>
          <w:sz w:val="22"/>
          <w:szCs w:val="22"/>
        </w:rPr>
        <w:t xml:space="preserve"> </w:t>
      </w:r>
      <w:proofErr w:type="spellStart"/>
      <w:r w:rsidRPr="00476C4D">
        <w:rPr>
          <w:rFonts w:ascii="Lato" w:hAnsi="Lato"/>
          <w:i/>
          <w:sz w:val="22"/>
          <w:szCs w:val="22"/>
        </w:rPr>
        <w:t>include</w:t>
      </w:r>
      <w:proofErr w:type="spellEnd"/>
      <w:r w:rsidRPr="00476C4D">
        <w:rPr>
          <w:rFonts w:ascii="Lato" w:hAnsi="Lato"/>
          <w:i/>
          <w:sz w:val="22"/>
          <w:szCs w:val="22"/>
        </w:rPr>
        <w:t xml:space="preserve"> a local </w:t>
      </w:r>
      <w:proofErr w:type="spellStart"/>
      <w:r w:rsidRPr="00476C4D">
        <w:rPr>
          <w:rFonts w:ascii="Lato" w:hAnsi="Lato"/>
          <w:i/>
          <w:sz w:val="22"/>
          <w:szCs w:val="22"/>
        </w:rPr>
        <w:t>planning</w:t>
      </w:r>
      <w:proofErr w:type="spellEnd"/>
      <w:r w:rsidRPr="00476C4D">
        <w:rPr>
          <w:rFonts w:ascii="Lato" w:hAnsi="Lato"/>
          <w:i/>
          <w:sz w:val="22"/>
          <w:szCs w:val="22"/>
        </w:rPr>
        <w:t xml:space="preserve"> </w:t>
      </w:r>
      <w:proofErr w:type="spellStart"/>
      <w:r w:rsidRPr="00476C4D">
        <w:rPr>
          <w:rFonts w:ascii="Lato" w:hAnsi="Lato"/>
          <w:i/>
          <w:sz w:val="22"/>
          <w:szCs w:val="22"/>
        </w:rPr>
        <w:t>document</w:t>
      </w:r>
      <w:proofErr w:type="spellEnd"/>
      <w:r w:rsidRPr="00476C4D">
        <w:rPr>
          <w:rFonts w:ascii="Lato" w:hAnsi="Lato"/>
          <w:i/>
          <w:sz w:val="22"/>
          <w:szCs w:val="22"/>
        </w:rPr>
        <w:t xml:space="preserve">.] </w:t>
      </w:r>
    </w:p>
    <w:p w14:paraId="00000005" w14:textId="77777777"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 xml:space="preserve">El Forward </w:t>
      </w:r>
      <w:proofErr w:type="spellStart"/>
      <w:r w:rsidRPr="00476C4D">
        <w:rPr>
          <w:rFonts w:ascii="Lato" w:hAnsi="Lato"/>
          <w:sz w:val="22"/>
          <w:szCs w:val="22"/>
        </w:rPr>
        <w:t>Exam</w:t>
      </w:r>
      <w:proofErr w:type="spellEnd"/>
      <w:r w:rsidRPr="00476C4D">
        <w:rPr>
          <w:rFonts w:ascii="Lato" w:hAnsi="Lato"/>
          <w:sz w:val="22"/>
          <w:szCs w:val="22"/>
        </w:rPr>
        <w:t xml:space="preserve"> evalúa a los estudiantes en las áreas de literatura inglesa (ELA), matemática para estudiantes de </w:t>
      </w:r>
      <w:proofErr w:type="gramStart"/>
      <w:r w:rsidRPr="00476C4D">
        <w:rPr>
          <w:rFonts w:ascii="Lato" w:hAnsi="Lato"/>
          <w:sz w:val="22"/>
          <w:szCs w:val="22"/>
        </w:rPr>
        <w:t>3.°</w:t>
      </w:r>
      <w:proofErr w:type="gramEnd"/>
      <w:r w:rsidRPr="00476C4D">
        <w:rPr>
          <w:rFonts w:ascii="Lato" w:hAnsi="Lato"/>
          <w:sz w:val="22"/>
          <w:szCs w:val="22"/>
        </w:rPr>
        <w:t xml:space="preserve"> a 8.°, ciencias para los estudiantes de 4.° y 8.°, y estudios sociales para los estudiantes de 4.°, 8.° y 10.°.  Se pueden realizar una o más </w:t>
      </w:r>
      <w:proofErr w:type="spellStart"/>
      <w:r w:rsidRPr="00476C4D">
        <w:rPr>
          <w:rFonts w:ascii="Lato" w:hAnsi="Lato"/>
          <w:sz w:val="22"/>
          <w:szCs w:val="22"/>
        </w:rPr>
        <w:t>subevaluaciones</w:t>
      </w:r>
      <w:proofErr w:type="spellEnd"/>
      <w:r w:rsidRPr="00476C4D">
        <w:rPr>
          <w:rFonts w:ascii="Lato" w:hAnsi="Lato"/>
          <w:sz w:val="22"/>
          <w:szCs w:val="22"/>
        </w:rPr>
        <w:t xml:space="preserve"> diarias durante el período seleccionado.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w:t>
      </w:r>
      <w:proofErr w:type="spellStart"/>
      <w:r w:rsidRPr="00476C4D">
        <w:rPr>
          <w:rFonts w:ascii="Lato" w:hAnsi="Lato"/>
          <w:sz w:val="22"/>
          <w:szCs w:val="22"/>
        </w:rPr>
        <w:t>recuperatorios</w:t>
      </w:r>
      <w:proofErr w:type="spellEnd"/>
      <w:r w:rsidRPr="00476C4D">
        <w:rPr>
          <w:rFonts w:ascii="Lato" w:hAnsi="Lato"/>
          <w:sz w:val="22"/>
          <w:szCs w:val="22"/>
        </w:rPr>
        <w:t xml:space="preserve"> antes del cierre del período de evaluación.</w:t>
      </w:r>
    </w:p>
    <w:p w14:paraId="00000006" w14:textId="38CA3DB7"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 xml:space="preserve">Se adjunta un folleto con </w:t>
      </w:r>
      <w:r w:rsidRPr="00476C4D">
        <w:rPr>
          <w:rFonts w:ascii="Lato" w:hAnsi="Lato"/>
          <w:i/>
          <w:sz w:val="22"/>
          <w:szCs w:val="22"/>
        </w:rPr>
        <w:t xml:space="preserve">Información para las Familias sobre Forward </w:t>
      </w:r>
      <w:proofErr w:type="spellStart"/>
      <w:r w:rsidRPr="00476C4D">
        <w:rPr>
          <w:rFonts w:ascii="Lato" w:hAnsi="Lato"/>
          <w:i/>
          <w:sz w:val="22"/>
          <w:szCs w:val="22"/>
        </w:rPr>
        <w:t>Exam</w:t>
      </w:r>
      <w:proofErr w:type="spellEnd"/>
      <w:r w:rsidRPr="00476C4D">
        <w:rPr>
          <w:rFonts w:ascii="Lato" w:hAnsi="Lato"/>
          <w:sz w:val="22"/>
          <w:szCs w:val="22"/>
        </w:rPr>
        <w:t xml:space="preserve"> que ofrece más información sobre la evaluación. El Forward </w:t>
      </w:r>
      <w:proofErr w:type="spellStart"/>
      <w:r w:rsidRPr="00476C4D">
        <w:rPr>
          <w:rFonts w:ascii="Lato" w:hAnsi="Lato"/>
          <w:sz w:val="22"/>
          <w:szCs w:val="22"/>
        </w:rPr>
        <w:t>Exam</w:t>
      </w:r>
      <w:proofErr w:type="spellEnd"/>
      <w:r w:rsidRPr="00476C4D">
        <w:rPr>
          <w:rFonts w:ascii="Lato" w:hAnsi="Lato"/>
          <w:sz w:val="22"/>
          <w:szCs w:val="22"/>
        </w:rPr>
        <w:t xml:space="preserve"> mide el conocimiento y las habilidades que los estudiantes deberían tener según su nivel de grado. El desempeño en la evaluación no afectará sus notas. Aliente a los estudiantes a tomarse en serio la evaluación y a dar lo mejor de sí mismos. Los resultados de estas evaluaciones se usarán para ayudar al personal educativo a tomar decisiones relacionadas con el programa de estudios, la ubicación y los servicios para brindar un mejor apoyo a los estudiantes.</w:t>
      </w:r>
    </w:p>
    <w:p w14:paraId="00000007" w14:textId="77777777" w:rsidR="007B1A64" w:rsidRPr="00476C4D" w:rsidRDefault="00A9640D">
      <w:pPr>
        <w:spacing w:after="0"/>
        <w:ind w:left="0" w:right="0"/>
        <w:rPr>
          <w:rFonts w:ascii="Lato" w:eastAsia="Lato" w:hAnsi="Lato" w:cs="Lato"/>
          <w:sz w:val="22"/>
          <w:szCs w:val="22"/>
        </w:rPr>
      </w:pPr>
      <w:r w:rsidRPr="00476C4D">
        <w:rPr>
          <w:rFonts w:ascii="Lato" w:hAnsi="Lato"/>
          <w:i/>
          <w:sz w:val="22"/>
          <w:szCs w:val="22"/>
        </w:rPr>
        <w:t>[</w:t>
      </w:r>
      <w:proofErr w:type="spellStart"/>
      <w:r w:rsidRPr="00476C4D">
        <w:rPr>
          <w:rFonts w:ascii="Lato" w:hAnsi="Lato"/>
          <w:i/>
          <w:sz w:val="22"/>
          <w:szCs w:val="22"/>
        </w:rPr>
        <w:t>Include</w:t>
      </w:r>
      <w:proofErr w:type="spellEnd"/>
      <w:r w:rsidRPr="00476C4D">
        <w:rPr>
          <w:rFonts w:ascii="Lato" w:hAnsi="Lato"/>
          <w:i/>
          <w:sz w:val="22"/>
          <w:szCs w:val="22"/>
        </w:rPr>
        <w:t xml:space="preserve"> </w:t>
      </w:r>
      <w:proofErr w:type="spellStart"/>
      <w:r w:rsidRPr="00476C4D">
        <w:rPr>
          <w:rFonts w:ascii="Lato" w:hAnsi="Lato"/>
          <w:i/>
          <w:sz w:val="22"/>
          <w:szCs w:val="22"/>
        </w:rPr>
        <w:t>information</w:t>
      </w:r>
      <w:proofErr w:type="spellEnd"/>
      <w:r w:rsidRPr="00476C4D">
        <w:rPr>
          <w:rFonts w:ascii="Lato" w:hAnsi="Lato"/>
          <w:i/>
          <w:sz w:val="22"/>
          <w:szCs w:val="22"/>
        </w:rPr>
        <w:t xml:space="preserve"> </w:t>
      </w:r>
      <w:proofErr w:type="spellStart"/>
      <w:r w:rsidRPr="00476C4D">
        <w:rPr>
          <w:rFonts w:ascii="Lato" w:hAnsi="Lato"/>
          <w:i/>
          <w:sz w:val="22"/>
          <w:szCs w:val="22"/>
        </w:rPr>
        <w:t>about</w:t>
      </w:r>
      <w:proofErr w:type="spellEnd"/>
      <w:r w:rsidRPr="00476C4D">
        <w:rPr>
          <w:rFonts w:ascii="Lato" w:hAnsi="Lato"/>
          <w:i/>
          <w:sz w:val="22"/>
          <w:szCs w:val="22"/>
        </w:rPr>
        <w:t xml:space="preserve"> </w:t>
      </w:r>
      <w:proofErr w:type="spellStart"/>
      <w:r w:rsidRPr="00476C4D">
        <w:rPr>
          <w:rFonts w:ascii="Lato" w:hAnsi="Lato"/>
          <w:i/>
          <w:sz w:val="22"/>
          <w:szCs w:val="22"/>
        </w:rPr>
        <w:t>materials</w:t>
      </w:r>
      <w:proofErr w:type="spellEnd"/>
      <w:r w:rsidRPr="00476C4D">
        <w:rPr>
          <w:rFonts w:ascii="Lato" w:hAnsi="Lato"/>
          <w:i/>
          <w:sz w:val="22"/>
          <w:szCs w:val="22"/>
        </w:rPr>
        <w:t xml:space="preserve"> </w:t>
      </w:r>
      <w:proofErr w:type="spellStart"/>
      <w:r w:rsidRPr="00476C4D">
        <w:rPr>
          <w:rFonts w:ascii="Lato" w:hAnsi="Lato"/>
          <w:i/>
          <w:sz w:val="22"/>
          <w:szCs w:val="22"/>
        </w:rPr>
        <w:t>students</w:t>
      </w:r>
      <w:proofErr w:type="spellEnd"/>
      <w:r w:rsidRPr="00476C4D">
        <w:rPr>
          <w:rFonts w:ascii="Lato" w:hAnsi="Lato"/>
          <w:i/>
          <w:sz w:val="22"/>
          <w:szCs w:val="22"/>
        </w:rPr>
        <w:t xml:space="preserve"> </w:t>
      </w:r>
      <w:proofErr w:type="spellStart"/>
      <w:r w:rsidRPr="00476C4D">
        <w:rPr>
          <w:rFonts w:ascii="Lato" w:hAnsi="Lato"/>
          <w:i/>
          <w:sz w:val="22"/>
          <w:szCs w:val="22"/>
        </w:rPr>
        <w:t>will</w:t>
      </w:r>
      <w:proofErr w:type="spellEnd"/>
      <w:r w:rsidRPr="00476C4D">
        <w:rPr>
          <w:rFonts w:ascii="Lato" w:hAnsi="Lato"/>
          <w:i/>
          <w:sz w:val="22"/>
          <w:szCs w:val="22"/>
        </w:rPr>
        <w:t xml:space="preserve"> </w:t>
      </w:r>
      <w:proofErr w:type="spellStart"/>
      <w:r w:rsidRPr="00476C4D">
        <w:rPr>
          <w:rFonts w:ascii="Lato" w:hAnsi="Lato"/>
          <w:i/>
          <w:sz w:val="22"/>
          <w:szCs w:val="22"/>
        </w:rPr>
        <w:t>need</w:t>
      </w:r>
      <w:proofErr w:type="spellEnd"/>
      <w:r w:rsidRPr="00476C4D">
        <w:rPr>
          <w:rFonts w:ascii="Lato" w:hAnsi="Lato"/>
          <w:i/>
          <w:sz w:val="22"/>
          <w:szCs w:val="22"/>
        </w:rPr>
        <w:t xml:space="preserve"> to </w:t>
      </w:r>
      <w:proofErr w:type="spellStart"/>
      <w:r w:rsidRPr="00476C4D">
        <w:rPr>
          <w:rFonts w:ascii="Lato" w:hAnsi="Lato"/>
          <w:i/>
          <w:sz w:val="22"/>
          <w:szCs w:val="22"/>
        </w:rPr>
        <w:t>bring</w:t>
      </w:r>
      <w:proofErr w:type="spellEnd"/>
      <w:r w:rsidRPr="00476C4D">
        <w:rPr>
          <w:rFonts w:ascii="Lato" w:hAnsi="Lato"/>
          <w:i/>
          <w:sz w:val="22"/>
          <w:szCs w:val="22"/>
        </w:rPr>
        <w:t xml:space="preserve"> </w:t>
      </w:r>
      <w:proofErr w:type="spellStart"/>
      <w:r w:rsidRPr="00476C4D">
        <w:rPr>
          <w:rFonts w:ascii="Lato" w:hAnsi="Lato"/>
          <w:i/>
          <w:sz w:val="22"/>
          <w:szCs w:val="22"/>
        </w:rPr>
        <w:t>on</w:t>
      </w:r>
      <w:proofErr w:type="spellEnd"/>
      <w:r w:rsidRPr="00476C4D">
        <w:rPr>
          <w:rFonts w:ascii="Lato" w:hAnsi="Lato"/>
          <w:i/>
          <w:sz w:val="22"/>
          <w:szCs w:val="22"/>
        </w:rPr>
        <w:t xml:space="preserve"> </w:t>
      </w:r>
      <w:proofErr w:type="spellStart"/>
      <w:r w:rsidRPr="00476C4D">
        <w:rPr>
          <w:rFonts w:ascii="Lato" w:hAnsi="Lato"/>
          <w:i/>
          <w:sz w:val="22"/>
          <w:szCs w:val="22"/>
        </w:rPr>
        <w:t>testing</w:t>
      </w:r>
      <w:proofErr w:type="spellEnd"/>
      <w:r w:rsidRPr="00476C4D">
        <w:rPr>
          <w:rFonts w:ascii="Lato" w:hAnsi="Lato"/>
          <w:i/>
          <w:sz w:val="22"/>
          <w:szCs w:val="22"/>
        </w:rPr>
        <w:t xml:space="preserve"> </w:t>
      </w:r>
      <w:proofErr w:type="spellStart"/>
      <w:r w:rsidRPr="00476C4D">
        <w:rPr>
          <w:rFonts w:ascii="Lato" w:hAnsi="Lato"/>
          <w:i/>
          <w:sz w:val="22"/>
          <w:szCs w:val="22"/>
        </w:rPr>
        <w:t>day</w:t>
      </w:r>
      <w:proofErr w:type="spellEnd"/>
      <w:r w:rsidRPr="00476C4D">
        <w:rPr>
          <w:rFonts w:ascii="Lato" w:hAnsi="Lato"/>
          <w:i/>
          <w:sz w:val="22"/>
          <w:szCs w:val="22"/>
        </w:rPr>
        <w:t xml:space="preserve"> (</w:t>
      </w:r>
      <w:proofErr w:type="spellStart"/>
      <w:r w:rsidRPr="00476C4D">
        <w:rPr>
          <w:rFonts w:ascii="Lato" w:hAnsi="Lato"/>
          <w:i/>
          <w:sz w:val="22"/>
          <w:szCs w:val="22"/>
        </w:rPr>
        <w:t>e.g</w:t>
      </w:r>
      <w:proofErr w:type="spellEnd"/>
      <w:r w:rsidRPr="00476C4D">
        <w:rPr>
          <w:rFonts w:ascii="Lato" w:hAnsi="Lato"/>
          <w:i/>
          <w:sz w:val="22"/>
          <w:szCs w:val="22"/>
        </w:rPr>
        <w:t xml:space="preserve">. </w:t>
      </w:r>
      <w:proofErr w:type="spellStart"/>
      <w:r w:rsidRPr="00476C4D">
        <w:rPr>
          <w:rFonts w:ascii="Lato" w:hAnsi="Lato"/>
          <w:i/>
          <w:sz w:val="22"/>
          <w:szCs w:val="22"/>
        </w:rPr>
        <w:t>Device</w:t>
      </w:r>
      <w:proofErr w:type="spellEnd"/>
      <w:r w:rsidRPr="00476C4D">
        <w:rPr>
          <w:rFonts w:ascii="Lato" w:hAnsi="Lato"/>
          <w:i/>
          <w:sz w:val="22"/>
          <w:szCs w:val="22"/>
        </w:rPr>
        <w:t xml:space="preserve">, </w:t>
      </w:r>
      <w:proofErr w:type="spellStart"/>
      <w:r w:rsidRPr="00476C4D">
        <w:rPr>
          <w:rFonts w:ascii="Lato" w:hAnsi="Lato"/>
          <w:i/>
          <w:sz w:val="22"/>
          <w:szCs w:val="22"/>
        </w:rPr>
        <w:t>headset</w:t>
      </w:r>
      <w:proofErr w:type="spellEnd"/>
      <w:r w:rsidRPr="00476C4D">
        <w:rPr>
          <w:rFonts w:ascii="Lato" w:hAnsi="Lato"/>
          <w:i/>
          <w:sz w:val="22"/>
          <w:szCs w:val="22"/>
        </w:rPr>
        <w:t xml:space="preserve">, </w:t>
      </w:r>
      <w:proofErr w:type="spellStart"/>
      <w:r w:rsidRPr="00476C4D">
        <w:rPr>
          <w:rFonts w:ascii="Lato" w:hAnsi="Lato"/>
          <w:i/>
          <w:sz w:val="22"/>
          <w:szCs w:val="22"/>
        </w:rPr>
        <w:t>charging</w:t>
      </w:r>
      <w:proofErr w:type="spellEnd"/>
      <w:r w:rsidRPr="00476C4D">
        <w:rPr>
          <w:rFonts w:ascii="Lato" w:hAnsi="Lato"/>
          <w:i/>
          <w:sz w:val="22"/>
          <w:szCs w:val="22"/>
        </w:rPr>
        <w:t xml:space="preserve"> cable, mouse, </w:t>
      </w:r>
      <w:proofErr w:type="spellStart"/>
      <w:r w:rsidRPr="00476C4D">
        <w:rPr>
          <w:rFonts w:ascii="Lato" w:hAnsi="Lato"/>
          <w:i/>
          <w:sz w:val="22"/>
          <w:szCs w:val="22"/>
        </w:rPr>
        <w:t>mousepad</w:t>
      </w:r>
      <w:proofErr w:type="spellEnd"/>
      <w:r w:rsidRPr="00476C4D">
        <w:rPr>
          <w:rFonts w:ascii="Lato" w:hAnsi="Lato"/>
          <w:i/>
          <w:sz w:val="22"/>
          <w:szCs w:val="22"/>
        </w:rPr>
        <w:t xml:space="preserve">).] </w:t>
      </w:r>
    </w:p>
    <w:p w14:paraId="00000008" w14:textId="77777777" w:rsidR="007B1A64" w:rsidRPr="00476C4D" w:rsidRDefault="00A9640D">
      <w:pPr>
        <w:spacing w:before="240" w:after="240"/>
        <w:ind w:left="0" w:right="0"/>
        <w:rPr>
          <w:rFonts w:ascii="Lato" w:eastAsia="Lato" w:hAnsi="Lato" w:cs="Lato"/>
          <w:sz w:val="22"/>
          <w:szCs w:val="22"/>
        </w:rPr>
      </w:pPr>
      <w:r w:rsidRPr="00476C4D">
        <w:rPr>
          <w:rFonts w:ascii="Lato" w:hAnsi="Lato"/>
          <w:sz w:val="22"/>
          <w:szCs w:val="22"/>
        </w:rPr>
        <w:t>Si tiene alguna pregunta, comuníquese con ____________ al _______________________________.</w:t>
      </w:r>
    </w:p>
    <w:p w14:paraId="4C2F1DD9" w14:textId="5ACEFB16" w:rsidR="00EC4411" w:rsidRPr="00476C4D" w:rsidRDefault="00A9640D">
      <w:pPr>
        <w:spacing w:before="240" w:after="240"/>
        <w:ind w:left="0" w:right="0"/>
        <w:rPr>
          <w:rFonts w:ascii="Lato" w:eastAsia="Lato" w:hAnsi="Lato" w:cs="Lato"/>
          <w:sz w:val="22"/>
          <w:szCs w:val="22"/>
        </w:rPr>
      </w:pPr>
      <w:r w:rsidRPr="00476C4D">
        <w:rPr>
          <w:rFonts w:ascii="Lato" w:hAnsi="Lato"/>
          <w:sz w:val="22"/>
          <w:szCs w:val="22"/>
        </w:rPr>
        <w:t>Gracias,</w:t>
      </w:r>
    </w:p>
    <w:p w14:paraId="51835162" w14:textId="77777777" w:rsidR="00EC4411" w:rsidRPr="00476C4D" w:rsidRDefault="00EC4411">
      <w:pPr>
        <w:spacing w:before="240" w:after="240"/>
        <w:ind w:left="0" w:right="0"/>
        <w:rPr>
          <w:rFonts w:ascii="Lato" w:eastAsia="Lato" w:hAnsi="Lato" w:cs="Lato"/>
          <w:sz w:val="22"/>
          <w:szCs w:val="22"/>
        </w:rPr>
      </w:pPr>
    </w:p>
    <w:p w14:paraId="0000000C" w14:textId="61786F1B" w:rsidR="007B1A64" w:rsidRDefault="00C24F90">
      <w:pPr>
        <w:spacing w:before="240" w:after="240"/>
        <w:ind w:left="0" w:right="0"/>
        <w:rPr>
          <w:rFonts w:ascii="Lato" w:eastAsia="Lato" w:hAnsi="Lato" w:cs="Lato"/>
          <w:sz w:val="22"/>
          <w:szCs w:val="22"/>
        </w:rPr>
      </w:pPr>
      <w:r w:rsidRPr="00476C4D">
        <w:rPr>
          <w:rFonts w:ascii="Lato" w:hAnsi="Lato"/>
          <w:i/>
          <w:sz w:val="22"/>
          <w:szCs w:val="22"/>
        </w:rPr>
        <w:t>[</w:t>
      </w:r>
      <w:proofErr w:type="spellStart"/>
      <w:r w:rsidRPr="00476C4D">
        <w:rPr>
          <w:rFonts w:ascii="Lato" w:hAnsi="Lato"/>
          <w:i/>
          <w:sz w:val="22"/>
          <w:szCs w:val="22"/>
        </w:rPr>
        <w:t>Name</w:t>
      </w:r>
      <w:proofErr w:type="spellEnd"/>
      <w:r w:rsidRPr="00476C4D">
        <w:rPr>
          <w:rFonts w:ascii="Lato" w:hAnsi="Lato"/>
          <w:i/>
          <w:sz w:val="22"/>
          <w:szCs w:val="22"/>
        </w:rPr>
        <w:t>]</w:t>
      </w:r>
      <w:r w:rsidRPr="00476C4D">
        <w:rPr>
          <w:rFonts w:ascii="Lato" w:hAnsi="Lato"/>
          <w:sz w:val="22"/>
          <w:szCs w:val="22"/>
        </w:rPr>
        <w:t>, Director</w:t>
      </w:r>
      <w:r w:rsidR="00A9640D">
        <w:rPr>
          <w:rFonts w:ascii="Lato" w:hAnsi="Lato"/>
          <w:sz w:val="22"/>
          <w:szCs w:val="22"/>
        </w:rPr>
        <w:t xml:space="preserve"> </w:t>
      </w:r>
    </w:p>
    <w:sectPr w:rsidR="007B1A64" w:rsidSect="00EC4411">
      <w:headerReference w:type="default" r:id="rId6"/>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F91C5" w14:textId="77777777" w:rsidR="00B16FD3" w:rsidRDefault="00B16FD3" w:rsidP="006F7488">
      <w:pPr>
        <w:spacing w:after="0"/>
      </w:pPr>
      <w:r>
        <w:separator/>
      </w:r>
    </w:p>
  </w:endnote>
  <w:endnote w:type="continuationSeparator" w:id="0">
    <w:p w14:paraId="19FB1898" w14:textId="77777777" w:rsidR="00B16FD3" w:rsidRDefault="00B16FD3"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5E9D" w14:textId="77777777" w:rsidR="00B16FD3" w:rsidRDefault="00B16FD3" w:rsidP="006F7488">
      <w:pPr>
        <w:spacing w:after="0"/>
      </w:pPr>
      <w:r>
        <w:separator/>
      </w:r>
    </w:p>
  </w:footnote>
  <w:footnote w:type="continuationSeparator" w:id="0">
    <w:p w14:paraId="50A56D3D" w14:textId="77777777" w:rsidR="00B16FD3" w:rsidRDefault="00B16FD3"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B3015" w14:textId="77777777" w:rsidR="000D5D8A" w:rsidRPr="00476C4D" w:rsidRDefault="000D5D8A" w:rsidP="000D5D8A">
    <w:pPr>
      <w:pStyle w:val="Default"/>
      <w:rPr>
        <w:b/>
      </w:rPr>
    </w:pPr>
    <w:r w:rsidRPr="00476C4D">
      <w:rPr>
        <w:noProof/>
        <w:lang w:val="en-US"/>
      </w:rPr>
      <w:drawing>
        <wp:anchor distT="0" distB="0" distL="114300" distR="114300" simplePos="0" relativeHeight="251659264" behindDoc="0" locked="0" layoutInCell="1" allowOverlap="1" wp14:anchorId="64448F9D" wp14:editId="35466422">
          <wp:simplePos x="0" y="0"/>
          <wp:positionH relativeFrom="column">
            <wp:posOffset>-50800</wp:posOffset>
          </wp:positionH>
          <wp:positionV relativeFrom="paragraph">
            <wp:posOffset>-139700</wp:posOffset>
          </wp:positionV>
          <wp:extent cx="1116965"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house-icon.png"/>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476C4D">
      <w:rPr>
        <w:b/>
      </w:rPr>
      <w:t>Template</w:t>
    </w:r>
    <w:proofErr w:type="spellEnd"/>
    <w:r w:rsidRPr="00476C4D">
      <w:rPr>
        <w:b/>
      </w:rPr>
      <w:t xml:space="preserve"> School</w:t>
    </w:r>
  </w:p>
  <w:p w14:paraId="009085E0" w14:textId="77777777" w:rsidR="000D5D8A" w:rsidRPr="00476C4D" w:rsidRDefault="000D5D8A" w:rsidP="000D5D8A">
    <w:pPr>
      <w:pStyle w:val="Default"/>
      <w:rPr>
        <w:b/>
      </w:rPr>
    </w:pPr>
    <w:proofErr w:type="spellStart"/>
    <w:r w:rsidRPr="00476C4D">
      <w:rPr>
        <w:b/>
      </w:rPr>
      <w:t>Template</w:t>
    </w:r>
    <w:proofErr w:type="spellEnd"/>
    <w:r w:rsidRPr="00476C4D">
      <w:rPr>
        <w:b/>
      </w:rPr>
      <w:t xml:space="preserve"> School </w:t>
    </w:r>
    <w:proofErr w:type="spellStart"/>
    <w:r w:rsidRPr="00476C4D">
      <w:rPr>
        <w:b/>
      </w:rPr>
      <w:t>District</w:t>
    </w:r>
    <w:proofErr w:type="spellEnd"/>
  </w:p>
  <w:p w14:paraId="436C99BF" w14:textId="77777777" w:rsidR="000D5D8A" w:rsidRPr="00476C4D" w:rsidRDefault="000D5D8A" w:rsidP="000D5D8A">
    <w:pPr>
      <w:pStyle w:val="Default"/>
      <w:rPr>
        <w:b/>
      </w:rPr>
    </w:pPr>
    <w:r w:rsidRPr="00476C4D">
      <w:rPr>
        <w:b/>
      </w:rPr>
      <w:t xml:space="preserve">1234 </w:t>
    </w:r>
    <w:proofErr w:type="spellStart"/>
    <w:r w:rsidRPr="00476C4D">
      <w:rPr>
        <w:b/>
      </w:rPr>
      <w:t>Address</w:t>
    </w:r>
    <w:proofErr w:type="spellEnd"/>
    <w:r w:rsidRPr="00476C4D">
      <w:rPr>
        <w:b/>
      </w:rPr>
      <w:t xml:space="preserve"> Road</w:t>
    </w:r>
  </w:p>
  <w:p w14:paraId="38531725" w14:textId="77777777" w:rsidR="000D5D8A" w:rsidRDefault="000D5D8A" w:rsidP="000D5D8A">
    <w:pPr>
      <w:pStyle w:val="Default"/>
      <w:rPr>
        <w:b/>
      </w:rPr>
    </w:pPr>
    <w:r w:rsidRPr="00476C4D">
      <w:rPr>
        <w:b/>
      </w:rPr>
      <w:t>City, State Zip</w:t>
    </w:r>
  </w:p>
  <w:p w14:paraId="5AB2D11C" w14:textId="74D477A4" w:rsidR="006F7488" w:rsidRPr="000D5D8A" w:rsidRDefault="000D5D8A" w:rsidP="000D5D8A">
    <w:pPr>
      <w:pStyle w:val="Default"/>
      <w:rPr>
        <w:b/>
      </w:rPr>
    </w:pPr>
    <w:r>
      <w:rPr>
        <w:b/>
        <w:noProof/>
        <w:lang w:val="en-US"/>
      </w:rPr>
      <mc:AlternateContent>
        <mc:Choice Requires="wps">
          <w:drawing>
            <wp:anchor distT="0" distB="0" distL="114300" distR="114300" simplePos="0" relativeHeight="251660288" behindDoc="0" locked="0" layoutInCell="1" allowOverlap="1" wp14:anchorId="687C4DFB" wp14:editId="03C88A07">
              <wp:simplePos x="0" y="0"/>
              <wp:positionH relativeFrom="column">
                <wp:posOffset>-6350</wp:posOffset>
              </wp:positionH>
              <wp:positionV relativeFrom="paragraph">
                <wp:posOffset>41910</wp:posOffset>
              </wp:positionV>
              <wp:extent cx="59372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4019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A64"/>
    <w:rsid w:val="000D5D8A"/>
    <w:rsid w:val="002D79B3"/>
    <w:rsid w:val="00476C4D"/>
    <w:rsid w:val="006F7488"/>
    <w:rsid w:val="007B1A64"/>
    <w:rsid w:val="008402CD"/>
    <w:rsid w:val="009A3410"/>
    <w:rsid w:val="00A9640D"/>
    <w:rsid w:val="00B16FD3"/>
    <w:rsid w:val="00C24F90"/>
    <w:rsid w:val="00E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Jennifer  C.  DPI</dc:creator>
  <cp:lastModifiedBy>Teasdale, Jennifer  C.  DPI</cp:lastModifiedBy>
  <cp:revision>7</cp:revision>
  <dcterms:created xsi:type="dcterms:W3CDTF">2020-12-02T21:30:00Z</dcterms:created>
  <dcterms:modified xsi:type="dcterms:W3CDTF">2020-12-17T20:02:00Z</dcterms:modified>
</cp:coreProperties>
</file>