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46" w:rsidRDefault="00AF3946"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b/>
          <w:bCs/>
          <w:sz w:val="28"/>
          <w:szCs w:val="28"/>
        </w:rPr>
      </w:pPr>
      <w:bookmarkStart w:id="0" w:name="_GoBack"/>
      <w:bookmarkEnd w:id="0"/>
    </w:p>
    <w:p w:rsidR="00350ADE" w:rsidRPr="007748C4" w:rsidRDefault="00A544B0"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b/>
          <w:bCs/>
          <w:sz w:val="28"/>
          <w:szCs w:val="28"/>
        </w:rPr>
      </w:pPr>
      <w:r w:rsidRPr="00391A23">
        <w:rPr>
          <w:rFonts w:asciiTheme="minorHAnsi" w:hAnsiTheme="minorHAnsi"/>
          <w:b/>
          <w:bCs/>
          <w:color w:val="FF0000"/>
          <w:sz w:val="28"/>
          <w:szCs w:val="28"/>
        </w:rPr>
        <w:t>REQUIRED</w:t>
      </w:r>
      <w:r w:rsidRPr="007748C4">
        <w:rPr>
          <w:rFonts w:asciiTheme="minorHAnsi" w:hAnsiTheme="minorHAnsi"/>
          <w:b/>
          <w:bCs/>
          <w:sz w:val="28"/>
          <w:szCs w:val="28"/>
        </w:rPr>
        <w:t xml:space="preserve"> USES OF FUNDS</w:t>
      </w:r>
      <w:r w:rsidR="00350ADE" w:rsidRPr="007748C4">
        <w:rPr>
          <w:rFonts w:asciiTheme="minorHAnsi" w:hAnsiTheme="minorHAnsi"/>
          <w:b/>
          <w:bCs/>
          <w:sz w:val="28"/>
          <w:szCs w:val="28"/>
        </w:rPr>
        <w:t>*</w:t>
      </w:r>
    </w:p>
    <w:p w:rsidR="00A544B0" w:rsidRPr="0052240C" w:rsidRDefault="00A544B0"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rPr>
      </w:pPr>
      <w:r w:rsidRPr="0052240C">
        <w:rPr>
          <w:rFonts w:asciiTheme="minorHAnsi" w:hAnsiTheme="minorHAnsi"/>
          <w:b/>
          <w:bCs/>
        </w:rPr>
        <w:t xml:space="preserve"> </w:t>
      </w: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ind w:left="720" w:hanging="720"/>
        <w:rPr>
          <w:rFonts w:asciiTheme="minorHAnsi" w:hAnsiTheme="minorHAnsi"/>
        </w:rPr>
      </w:pPr>
      <w:r w:rsidRPr="0052240C">
        <w:rPr>
          <w:rFonts w:asciiTheme="minorHAnsi" w:hAnsiTheme="minorHAnsi"/>
        </w:rPr>
        <w:t>1.</w:t>
      </w:r>
      <w:r w:rsidRPr="0052240C">
        <w:rPr>
          <w:rFonts w:asciiTheme="minorHAnsi" w:hAnsiTheme="minorHAnsi"/>
        </w:rPr>
        <w:tab/>
        <w:t>Strengthen the academic and career and technical skills for students participating in CTE programs through course integration between academics with CTE and development of coherent sequence of courses (POS).</w:t>
      </w: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rPr>
      </w:pP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rPr>
      </w:pPr>
      <w:r w:rsidRPr="0052240C">
        <w:rPr>
          <w:rFonts w:asciiTheme="minorHAnsi" w:hAnsiTheme="minorHAnsi"/>
        </w:rPr>
        <w:t>2.</w:t>
      </w:r>
      <w:r w:rsidRPr="0052240C">
        <w:rPr>
          <w:rFonts w:asciiTheme="minorHAnsi" w:hAnsiTheme="minorHAnsi"/>
        </w:rPr>
        <w:tab/>
        <w:t>Link CTE at secondary level with postsecondary level, through implementation of POS.</w:t>
      </w: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rPr>
      </w:pP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ind w:left="720" w:hanging="720"/>
        <w:rPr>
          <w:rFonts w:asciiTheme="minorHAnsi" w:hAnsiTheme="minorHAnsi"/>
        </w:rPr>
      </w:pPr>
      <w:r w:rsidRPr="0052240C">
        <w:rPr>
          <w:rFonts w:asciiTheme="minorHAnsi" w:hAnsiTheme="minorHAnsi"/>
        </w:rPr>
        <w:t>3.</w:t>
      </w:r>
      <w:r w:rsidRPr="0052240C">
        <w:rPr>
          <w:rFonts w:asciiTheme="minorHAnsi" w:hAnsiTheme="minorHAnsi"/>
        </w:rPr>
        <w:tab/>
        <w:t xml:space="preserve">Provide students with strong experience in and understanding of all aspects of an industry, which may include work-based learning, job shadowing, or other opportunities. </w:t>
      </w: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rPr>
      </w:pP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ind w:left="720" w:hanging="720"/>
        <w:rPr>
          <w:rFonts w:asciiTheme="minorHAnsi" w:hAnsiTheme="minorHAnsi"/>
        </w:rPr>
      </w:pPr>
      <w:r w:rsidRPr="0052240C">
        <w:rPr>
          <w:rFonts w:asciiTheme="minorHAnsi" w:hAnsiTheme="minorHAnsi"/>
        </w:rPr>
        <w:t>4.</w:t>
      </w:r>
      <w:r w:rsidRPr="0052240C">
        <w:rPr>
          <w:rFonts w:asciiTheme="minorHAnsi" w:hAnsiTheme="minorHAnsi"/>
        </w:rPr>
        <w:tab/>
        <w:t>Develop, improve or expand use of technology in CTE, which may include training in technology for students and school personnel; providing students with the skills needed to enter technology fields; and collaborate with local business to provide internships/mentoring to improve math/science knowledge.</w:t>
      </w: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rPr>
      </w:pP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ind w:left="720" w:hanging="720"/>
        <w:rPr>
          <w:rFonts w:asciiTheme="minorHAnsi" w:hAnsiTheme="minorHAnsi"/>
        </w:rPr>
      </w:pPr>
      <w:r w:rsidRPr="0052240C">
        <w:rPr>
          <w:rFonts w:asciiTheme="minorHAnsi" w:hAnsiTheme="minorHAnsi"/>
        </w:rPr>
        <w:t>5.</w:t>
      </w:r>
      <w:r w:rsidRPr="0052240C">
        <w:rPr>
          <w:rFonts w:asciiTheme="minorHAnsi" w:hAnsiTheme="minorHAnsi"/>
        </w:rPr>
        <w:tab/>
        <w:t>Professional development via in-service/preservice for teachers, administrators and school counselors involved in integration of academics and CTE on effective integration, teaching skills, parental and community involvement, use of research and data, and current industry standards, effective use of technology in education</w:t>
      </w:r>
      <w:r w:rsidR="00161B22">
        <w:rPr>
          <w:rFonts w:asciiTheme="minorHAnsi" w:hAnsiTheme="minorHAnsi"/>
        </w:rPr>
        <w:t xml:space="preserve"> as well as</w:t>
      </w:r>
      <w:r w:rsidRPr="0052240C">
        <w:rPr>
          <w:rFonts w:asciiTheme="minorHAnsi" w:hAnsiTheme="minorHAnsi"/>
        </w:rPr>
        <w:t xml:space="preserve"> promising practices; stakeholder engagement and staying current with industry standards.</w:t>
      </w: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rPr>
      </w:pP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ind w:left="720" w:hanging="720"/>
        <w:rPr>
          <w:rFonts w:asciiTheme="minorHAnsi" w:hAnsiTheme="minorHAnsi"/>
        </w:rPr>
      </w:pPr>
      <w:r w:rsidRPr="0052240C">
        <w:rPr>
          <w:rFonts w:asciiTheme="minorHAnsi" w:hAnsiTheme="minorHAnsi"/>
        </w:rPr>
        <w:t>6.</w:t>
      </w:r>
      <w:r w:rsidRPr="0052240C">
        <w:rPr>
          <w:rFonts w:asciiTheme="minorHAnsi" w:hAnsiTheme="minorHAnsi"/>
        </w:rPr>
        <w:tab/>
        <w:t>Develop/implement evaluations of the CTE programs carried out with Perkins funds including assessment of how needs of special populations are being met. (</w:t>
      </w:r>
      <w:proofErr w:type="gramStart"/>
      <w:r w:rsidRPr="0052240C">
        <w:rPr>
          <w:rFonts w:asciiTheme="minorHAnsi" w:hAnsiTheme="minorHAnsi"/>
        </w:rPr>
        <w:t>including</w:t>
      </w:r>
      <w:proofErr w:type="gramEnd"/>
      <w:r w:rsidRPr="0052240C">
        <w:rPr>
          <w:rFonts w:asciiTheme="minorHAnsi" w:hAnsiTheme="minorHAnsi"/>
        </w:rPr>
        <w:t xml:space="preserve"> annual reporting and data collection), particularly related to meeting needs of special populations</w:t>
      </w: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rPr>
      </w:pP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ind w:left="720" w:hanging="720"/>
        <w:rPr>
          <w:rFonts w:asciiTheme="minorHAnsi" w:hAnsiTheme="minorHAnsi"/>
        </w:rPr>
      </w:pPr>
      <w:r w:rsidRPr="0052240C">
        <w:rPr>
          <w:rFonts w:asciiTheme="minorHAnsi" w:hAnsiTheme="minorHAnsi"/>
        </w:rPr>
        <w:t>7.</w:t>
      </w:r>
      <w:r w:rsidRPr="0052240C">
        <w:rPr>
          <w:rFonts w:asciiTheme="minorHAnsi" w:hAnsiTheme="minorHAnsi"/>
        </w:rPr>
        <w:tab/>
        <w:t>Initiate, improve, expand and modernize quality CTE programs and skill achievement, including relevant technology.</w:t>
      </w: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rPr>
      </w:pP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ind w:left="720" w:hanging="720"/>
        <w:rPr>
          <w:rFonts w:asciiTheme="minorHAnsi" w:hAnsiTheme="minorHAnsi"/>
        </w:rPr>
      </w:pPr>
      <w:r w:rsidRPr="0052240C">
        <w:rPr>
          <w:rFonts w:asciiTheme="minorHAnsi" w:hAnsiTheme="minorHAnsi"/>
        </w:rPr>
        <w:t>8.</w:t>
      </w:r>
      <w:r w:rsidRPr="0052240C">
        <w:rPr>
          <w:rFonts w:asciiTheme="minorHAnsi" w:hAnsiTheme="minorHAnsi"/>
        </w:rPr>
        <w:tab/>
        <w:t>Provide activities to prepare special populations, enrolled in CTE programs for high skills, high-wage or high demand occupations.</w:t>
      </w: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rPr>
      </w:pP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rPr>
      </w:pPr>
      <w:r w:rsidRPr="0052240C">
        <w:rPr>
          <w:rFonts w:asciiTheme="minorHAnsi" w:hAnsiTheme="minorHAnsi"/>
        </w:rPr>
        <w:t>9.</w:t>
      </w:r>
      <w:r w:rsidRPr="0052240C">
        <w:rPr>
          <w:rFonts w:asciiTheme="minorHAnsi" w:hAnsiTheme="minorHAnsi"/>
        </w:rPr>
        <w:tab/>
        <w:t>Provide activities of sufficient size, scope and quality to be effective</w:t>
      </w: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rPr>
      </w:pPr>
    </w:p>
    <w:p w:rsidR="00DC2C58"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rPr>
      </w:pPr>
      <w:r w:rsidRPr="0052240C">
        <w:rPr>
          <w:rFonts w:asciiTheme="minorHAnsi" w:hAnsiTheme="minorHAnsi"/>
        </w:rPr>
        <w:t>10.</w:t>
      </w:r>
      <w:r w:rsidRPr="0052240C">
        <w:rPr>
          <w:rFonts w:asciiTheme="minorHAnsi" w:hAnsiTheme="minorHAnsi"/>
        </w:rPr>
        <w:tab/>
        <w:t>Addressing Non-Compliance with Core Indicator(s) – added for WI</w:t>
      </w:r>
    </w:p>
    <w:p w:rsidR="0052240C" w:rsidRPr="0052240C" w:rsidRDefault="0052240C" w:rsidP="00AF3946">
      <w:pPr>
        <w:pStyle w:val="Default"/>
        <w:pBdr>
          <w:top w:val="single" w:sz="4" w:space="0" w:color="auto"/>
          <w:left w:val="single" w:sz="4" w:space="4" w:color="auto"/>
          <w:bottom w:val="single" w:sz="4" w:space="1" w:color="auto"/>
          <w:right w:val="single" w:sz="4" w:space="4" w:color="auto"/>
          <w:bar w:val="single" w:sz="4" w:color="auto"/>
        </w:pBdr>
        <w:rPr>
          <w:rFonts w:asciiTheme="minorHAnsi" w:hAnsiTheme="minorHAnsi"/>
        </w:rPr>
      </w:pPr>
    </w:p>
    <w:p w:rsidR="004453F7" w:rsidRDefault="00A544B0" w:rsidP="00AF3946">
      <w:pPr>
        <w:pBdr>
          <w:top w:val="single" w:sz="4" w:space="0" w:color="auto"/>
          <w:left w:val="single" w:sz="4" w:space="4" w:color="auto"/>
          <w:bottom w:val="single" w:sz="4" w:space="1" w:color="auto"/>
          <w:right w:val="single" w:sz="4" w:space="4" w:color="auto"/>
          <w:bar w:val="single" w:sz="4" w:color="auto"/>
        </w:pBdr>
        <w:rPr>
          <w:i/>
          <w:sz w:val="24"/>
          <w:szCs w:val="24"/>
        </w:rPr>
      </w:pPr>
      <w:r w:rsidRPr="0052240C">
        <w:rPr>
          <w:i/>
          <w:sz w:val="24"/>
          <w:szCs w:val="24"/>
        </w:rPr>
        <w:t>*It is the Office of Career Technical and Adult Education’s (OCTAE) policy that while a recipient</w:t>
      </w:r>
      <w:r w:rsidR="00350ADE" w:rsidRPr="0052240C">
        <w:rPr>
          <w:i/>
          <w:sz w:val="24"/>
          <w:szCs w:val="24"/>
        </w:rPr>
        <w:t xml:space="preserve"> of CPA IV funds</w:t>
      </w:r>
      <w:r w:rsidRPr="0052240C">
        <w:rPr>
          <w:i/>
          <w:sz w:val="24"/>
          <w:szCs w:val="24"/>
        </w:rPr>
        <w:t xml:space="preserve"> must demonstrate that it is complying with all required uses; the recipient does not have to use federal Perkins funds to satisfy all required uses.</w:t>
      </w:r>
    </w:p>
    <w:p w:rsidR="0052240C" w:rsidRDefault="0052240C" w:rsidP="00AF3946">
      <w:pPr>
        <w:pBdr>
          <w:top w:val="single" w:sz="4" w:space="0" w:color="auto"/>
          <w:left w:val="single" w:sz="4" w:space="4" w:color="auto"/>
          <w:bottom w:val="single" w:sz="4" w:space="1" w:color="auto"/>
          <w:right w:val="single" w:sz="4" w:space="4" w:color="auto"/>
          <w:bar w:val="single" w:sz="4" w:color="auto"/>
        </w:pBdr>
        <w:rPr>
          <w:i/>
          <w:sz w:val="24"/>
          <w:szCs w:val="24"/>
        </w:rPr>
      </w:pPr>
    </w:p>
    <w:p w:rsidR="0052240C" w:rsidRDefault="00552784" w:rsidP="00AF3946">
      <w:pPr>
        <w:pBdr>
          <w:top w:val="single" w:sz="4" w:space="0" w:color="auto"/>
          <w:left w:val="single" w:sz="4" w:space="4" w:color="auto"/>
          <w:bottom w:val="single" w:sz="4" w:space="1" w:color="auto"/>
          <w:right w:val="single" w:sz="4" w:space="4" w:color="auto"/>
          <w:bar w:val="single" w:sz="4" w:color="auto"/>
        </w:pBdr>
        <w:rPr>
          <w:i/>
          <w:sz w:val="24"/>
          <w:szCs w:val="24"/>
        </w:rPr>
      </w:pPr>
      <w:r>
        <w:rPr>
          <w:i/>
          <w:sz w:val="24"/>
          <w:szCs w:val="24"/>
        </w:rPr>
        <w:lastRenderedPageBreak/>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(OVER)</w:t>
      </w:r>
    </w:p>
    <w:p w:rsidR="005055CC" w:rsidRPr="0052240C" w:rsidRDefault="005055CC" w:rsidP="00AF3946">
      <w:pPr>
        <w:pBdr>
          <w:top w:val="single" w:sz="4" w:space="0" w:color="auto"/>
          <w:left w:val="single" w:sz="4" w:space="4" w:color="auto"/>
          <w:bottom w:val="single" w:sz="4" w:space="1" w:color="auto"/>
          <w:right w:val="single" w:sz="4" w:space="4" w:color="auto"/>
          <w:bar w:val="single" w:sz="4" w:color="auto"/>
        </w:pBdr>
        <w:rPr>
          <w:i/>
          <w:sz w:val="24"/>
          <w:szCs w:val="24"/>
        </w:rPr>
      </w:pPr>
    </w:p>
    <w:p w:rsidR="0052240C" w:rsidRDefault="0052240C" w:rsidP="001127BD">
      <w:pPr>
        <w:pStyle w:val="Default"/>
        <w:pBdr>
          <w:top w:val="single" w:sz="4" w:space="1" w:color="auto"/>
          <w:left w:val="single" w:sz="4" w:space="4" w:color="auto"/>
          <w:bottom w:val="single" w:sz="4" w:space="31" w:color="auto"/>
          <w:right w:val="single" w:sz="4" w:space="4" w:color="auto"/>
          <w:bar w:val="single" w:sz="4" w:color="auto"/>
        </w:pBdr>
        <w:rPr>
          <w:rFonts w:asciiTheme="minorHAnsi" w:hAnsiTheme="minorHAnsi"/>
          <w:b/>
          <w:bCs/>
          <w:sz w:val="21"/>
          <w:szCs w:val="21"/>
        </w:rPr>
      </w:pPr>
    </w:p>
    <w:p w:rsidR="005055CC" w:rsidRDefault="005055CC" w:rsidP="001127BD">
      <w:pPr>
        <w:pStyle w:val="Default"/>
        <w:pBdr>
          <w:top w:val="single" w:sz="4" w:space="1" w:color="auto"/>
          <w:left w:val="single" w:sz="4" w:space="4" w:color="auto"/>
          <w:bottom w:val="single" w:sz="4" w:space="31" w:color="auto"/>
          <w:right w:val="single" w:sz="4" w:space="4" w:color="auto"/>
          <w:bar w:val="single" w:sz="4" w:color="auto"/>
        </w:pBdr>
        <w:rPr>
          <w:rFonts w:asciiTheme="minorHAnsi" w:hAnsiTheme="minorHAnsi"/>
          <w:b/>
          <w:bCs/>
          <w:sz w:val="28"/>
          <w:szCs w:val="28"/>
        </w:rPr>
      </w:pPr>
    </w:p>
    <w:p w:rsidR="004453F7" w:rsidRPr="007748C4" w:rsidRDefault="004453F7" w:rsidP="001127BD">
      <w:pPr>
        <w:pStyle w:val="Default"/>
        <w:pBdr>
          <w:top w:val="single" w:sz="4" w:space="1" w:color="auto"/>
          <w:left w:val="single" w:sz="4" w:space="4" w:color="auto"/>
          <w:bottom w:val="single" w:sz="4" w:space="31" w:color="auto"/>
          <w:right w:val="single" w:sz="4" w:space="4" w:color="auto"/>
          <w:bar w:val="single" w:sz="4" w:color="auto"/>
        </w:pBdr>
        <w:rPr>
          <w:rFonts w:asciiTheme="minorHAnsi" w:hAnsiTheme="minorHAnsi"/>
          <w:sz w:val="28"/>
          <w:szCs w:val="28"/>
        </w:rPr>
      </w:pPr>
      <w:r w:rsidRPr="007748C4">
        <w:rPr>
          <w:rFonts w:asciiTheme="minorHAnsi" w:hAnsiTheme="minorHAnsi"/>
          <w:b/>
          <w:bCs/>
          <w:sz w:val="28"/>
          <w:szCs w:val="28"/>
        </w:rPr>
        <w:t xml:space="preserve">PERMISSIVE USES OF FUNDS </w:t>
      </w:r>
    </w:p>
    <w:p w:rsidR="004453F7" w:rsidRPr="007748C4" w:rsidRDefault="00830F4E" w:rsidP="001127BD">
      <w:pPr>
        <w:pStyle w:val="Default"/>
        <w:pBdr>
          <w:top w:val="single" w:sz="4" w:space="1" w:color="auto"/>
          <w:left w:val="single" w:sz="4" w:space="4" w:color="auto"/>
          <w:bottom w:val="single" w:sz="4" w:space="31" w:color="auto"/>
          <w:right w:val="single" w:sz="4" w:space="4" w:color="auto"/>
          <w:bar w:val="single" w:sz="4" w:color="auto"/>
        </w:pBdr>
        <w:rPr>
          <w:rFonts w:asciiTheme="minorHAnsi" w:hAnsiTheme="minorHAnsi"/>
          <w:i/>
        </w:rPr>
      </w:pPr>
      <w:r w:rsidRPr="007748C4">
        <w:rPr>
          <w:rFonts w:asciiTheme="minorHAnsi" w:hAnsiTheme="minorHAnsi"/>
          <w:bCs/>
          <w:i/>
        </w:rPr>
        <w:t>(</w:t>
      </w:r>
      <w:r w:rsidR="00382963" w:rsidRPr="007748C4">
        <w:rPr>
          <w:rFonts w:asciiTheme="minorHAnsi" w:hAnsiTheme="minorHAnsi"/>
          <w:bCs/>
          <w:i/>
        </w:rPr>
        <w:t>Funding recipients may use CPA IV funds for permissive uses a</w:t>
      </w:r>
      <w:r w:rsidR="004453F7" w:rsidRPr="007748C4">
        <w:rPr>
          <w:rFonts w:asciiTheme="minorHAnsi" w:hAnsiTheme="minorHAnsi"/>
          <w:bCs/>
          <w:i/>
        </w:rPr>
        <w:t xml:space="preserve">s long as all required </w:t>
      </w:r>
      <w:r w:rsidR="00350ADE" w:rsidRPr="007748C4">
        <w:rPr>
          <w:rFonts w:asciiTheme="minorHAnsi" w:hAnsiTheme="minorHAnsi"/>
          <w:bCs/>
          <w:i/>
        </w:rPr>
        <w:t xml:space="preserve">activities are </w:t>
      </w:r>
      <w:r w:rsidR="004453F7" w:rsidRPr="007748C4">
        <w:rPr>
          <w:rFonts w:asciiTheme="minorHAnsi" w:hAnsiTheme="minorHAnsi"/>
          <w:bCs/>
          <w:i/>
        </w:rPr>
        <w:t>addressed</w:t>
      </w:r>
      <w:r w:rsidR="00382963" w:rsidRPr="007748C4">
        <w:rPr>
          <w:rFonts w:asciiTheme="minorHAnsi" w:hAnsiTheme="minorHAnsi"/>
          <w:i/>
        </w:rPr>
        <w:t>)</w:t>
      </w:r>
      <w:r w:rsidR="004453F7" w:rsidRPr="007748C4">
        <w:rPr>
          <w:rFonts w:asciiTheme="minorHAnsi" w:hAnsiTheme="minorHAnsi"/>
          <w:i/>
        </w:rPr>
        <w:t xml:space="preserve"> </w:t>
      </w:r>
    </w:p>
    <w:p w:rsidR="00350ADE" w:rsidRDefault="00350ADE" w:rsidP="001127BD">
      <w:pPr>
        <w:pStyle w:val="Default"/>
        <w:pBdr>
          <w:top w:val="single" w:sz="4" w:space="1" w:color="auto"/>
          <w:left w:val="single" w:sz="4" w:space="4" w:color="auto"/>
          <w:bottom w:val="single" w:sz="4" w:space="31" w:color="auto"/>
          <w:right w:val="single" w:sz="4" w:space="4" w:color="auto"/>
          <w:bar w:val="single" w:sz="4" w:color="auto"/>
        </w:pBdr>
        <w:rPr>
          <w:rFonts w:asciiTheme="minorHAnsi" w:hAnsiTheme="minorHAnsi"/>
          <w:sz w:val="21"/>
          <w:szCs w:val="21"/>
        </w:rPr>
      </w:pPr>
    </w:p>
    <w:p w:rsid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ind w:left="720" w:hanging="720"/>
        <w:rPr>
          <w:rFonts w:asciiTheme="minorHAnsi" w:hAnsiTheme="minorHAnsi"/>
        </w:rPr>
      </w:pPr>
      <w:r w:rsidRPr="007748C4">
        <w:rPr>
          <w:rFonts w:asciiTheme="minorHAnsi" w:hAnsiTheme="minorHAnsi"/>
        </w:rPr>
        <w:t>1.</w:t>
      </w:r>
      <w:r w:rsidRPr="007748C4">
        <w:rPr>
          <w:rFonts w:asciiTheme="minorHAnsi" w:hAnsiTheme="minorHAnsi"/>
        </w:rPr>
        <w:tab/>
        <w:t xml:space="preserve">Involvement of stakeholders (parents, business, industry and labor organizations) in the design implementation and evaluation of CTE programs.  </w:t>
      </w:r>
    </w:p>
    <w:p w:rsidR="007748C4" w:rsidRP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ind w:left="720" w:hanging="720"/>
        <w:rPr>
          <w:rFonts w:asciiTheme="minorHAnsi" w:hAnsiTheme="minorHAnsi"/>
        </w:rPr>
      </w:pPr>
    </w:p>
    <w:p w:rsid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ind w:left="720" w:hanging="720"/>
        <w:rPr>
          <w:rFonts w:asciiTheme="minorHAnsi" w:hAnsiTheme="minorHAnsi"/>
        </w:rPr>
      </w:pPr>
      <w:r w:rsidRPr="007748C4">
        <w:rPr>
          <w:rFonts w:asciiTheme="minorHAnsi" w:hAnsiTheme="minorHAnsi"/>
        </w:rPr>
        <w:t>2.</w:t>
      </w:r>
      <w:r w:rsidRPr="007748C4">
        <w:rPr>
          <w:rFonts w:asciiTheme="minorHAnsi" w:hAnsiTheme="minorHAnsi"/>
        </w:rPr>
        <w:tab/>
        <w:t xml:space="preserve">Providing school counseling that improves graduation rates of CTE students; providing information on CTE careers and access to postsecondary education. </w:t>
      </w:r>
    </w:p>
    <w:p w:rsidR="007748C4" w:rsidRP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ind w:left="720" w:hanging="720"/>
        <w:rPr>
          <w:rFonts w:asciiTheme="minorHAnsi" w:hAnsiTheme="minorHAnsi"/>
        </w:rPr>
      </w:pPr>
    </w:p>
    <w:p w:rsid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ind w:left="720" w:hanging="720"/>
        <w:rPr>
          <w:rFonts w:asciiTheme="minorHAnsi" w:hAnsiTheme="minorHAnsi"/>
        </w:rPr>
      </w:pPr>
      <w:r w:rsidRPr="007748C4">
        <w:rPr>
          <w:rFonts w:asciiTheme="minorHAnsi" w:hAnsiTheme="minorHAnsi"/>
        </w:rPr>
        <w:t>3.</w:t>
      </w:r>
      <w:r w:rsidRPr="007748C4">
        <w:rPr>
          <w:rFonts w:asciiTheme="minorHAnsi" w:hAnsiTheme="minorHAnsi"/>
        </w:rPr>
        <w:tab/>
        <w:t xml:space="preserve">Business and industry partnerships with LEA, including work experiences for students, teachers and adjunct faculty arrangements for qualified professionals.  </w:t>
      </w:r>
    </w:p>
    <w:p w:rsidR="007748C4" w:rsidRP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ind w:left="720" w:hanging="720"/>
        <w:rPr>
          <w:rFonts w:asciiTheme="minorHAnsi" w:hAnsiTheme="minorHAnsi"/>
        </w:rPr>
      </w:pPr>
    </w:p>
    <w:p w:rsid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rPr>
          <w:rFonts w:asciiTheme="minorHAnsi" w:hAnsiTheme="minorHAnsi"/>
        </w:rPr>
      </w:pPr>
      <w:r w:rsidRPr="007748C4">
        <w:rPr>
          <w:rFonts w:asciiTheme="minorHAnsi" w:hAnsiTheme="minorHAnsi"/>
        </w:rPr>
        <w:t>4.</w:t>
      </w:r>
      <w:r w:rsidRPr="007748C4">
        <w:rPr>
          <w:rFonts w:asciiTheme="minorHAnsi" w:hAnsiTheme="minorHAnsi"/>
        </w:rPr>
        <w:tab/>
        <w:t>Providing support programs specifically for special populations.</w:t>
      </w:r>
    </w:p>
    <w:p w:rsidR="007748C4" w:rsidRP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rPr>
          <w:rFonts w:asciiTheme="minorHAnsi" w:hAnsiTheme="minorHAnsi"/>
        </w:rPr>
      </w:pPr>
    </w:p>
    <w:p w:rsid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rPr>
          <w:rFonts w:asciiTheme="minorHAnsi" w:hAnsiTheme="minorHAnsi"/>
        </w:rPr>
      </w:pPr>
      <w:r w:rsidRPr="007748C4">
        <w:rPr>
          <w:rFonts w:asciiTheme="minorHAnsi" w:hAnsiTheme="minorHAnsi"/>
        </w:rPr>
        <w:t>5.</w:t>
      </w:r>
      <w:r w:rsidRPr="007748C4">
        <w:rPr>
          <w:rFonts w:asciiTheme="minorHAnsi" w:hAnsiTheme="minorHAnsi"/>
        </w:rPr>
        <w:tab/>
        <w:t>Mentoring and support services</w:t>
      </w:r>
    </w:p>
    <w:p w:rsidR="007748C4" w:rsidRP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rPr>
          <w:rFonts w:asciiTheme="minorHAnsi" w:hAnsiTheme="minorHAnsi"/>
        </w:rPr>
      </w:pPr>
    </w:p>
    <w:p w:rsid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ind w:left="720" w:hanging="720"/>
        <w:rPr>
          <w:rFonts w:asciiTheme="minorHAnsi" w:hAnsiTheme="minorHAnsi"/>
        </w:rPr>
      </w:pPr>
      <w:r w:rsidRPr="007748C4">
        <w:rPr>
          <w:rFonts w:asciiTheme="minorHAnsi" w:hAnsiTheme="minorHAnsi"/>
        </w:rPr>
        <w:t>6.</w:t>
      </w:r>
      <w:r w:rsidRPr="007748C4">
        <w:rPr>
          <w:rFonts w:asciiTheme="minorHAnsi" w:hAnsiTheme="minorHAnsi"/>
        </w:rPr>
        <w:tab/>
        <w:t xml:space="preserve">Leasing, purchasing, upgrading or adapting equipment/instructional aids and publications designed to strengthen and support academic and technical skill achievement. </w:t>
      </w:r>
    </w:p>
    <w:p w:rsidR="007748C4" w:rsidRP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ind w:left="720" w:hanging="720"/>
        <w:rPr>
          <w:rFonts w:asciiTheme="minorHAnsi" w:hAnsiTheme="minorHAnsi"/>
        </w:rPr>
      </w:pPr>
    </w:p>
    <w:p w:rsid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ind w:left="720" w:hanging="720"/>
        <w:rPr>
          <w:rFonts w:asciiTheme="minorHAnsi" w:hAnsiTheme="minorHAnsi"/>
        </w:rPr>
      </w:pPr>
      <w:r w:rsidRPr="007748C4">
        <w:rPr>
          <w:rFonts w:asciiTheme="minorHAnsi" w:hAnsiTheme="minorHAnsi"/>
        </w:rPr>
        <w:t>7.</w:t>
      </w:r>
      <w:r w:rsidRPr="007748C4">
        <w:rPr>
          <w:rFonts w:asciiTheme="minorHAnsi" w:hAnsiTheme="minorHAnsi"/>
        </w:rPr>
        <w:tab/>
        <w:t>Teacher preparation programs focusing on integration of academics and CTE to assist those with experience in business and industry become CTE teachers.</w:t>
      </w:r>
    </w:p>
    <w:p w:rsidR="007748C4" w:rsidRP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ind w:left="720" w:hanging="720"/>
        <w:rPr>
          <w:rFonts w:asciiTheme="minorHAnsi" w:hAnsiTheme="minorHAnsi"/>
        </w:rPr>
      </w:pPr>
    </w:p>
    <w:p w:rsid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ind w:left="720" w:hanging="720"/>
        <w:rPr>
          <w:rFonts w:asciiTheme="minorHAnsi" w:hAnsiTheme="minorHAnsi"/>
        </w:rPr>
      </w:pPr>
      <w:r w:rsidRPr="007748C4">
        <w:rPr>
          <w:rFonts w:asciiTheme="minorHAnsi" w:hAnsiTheme="minorHAnsi"/>
        </w:rPr>
        <w:t>8.</w:t>
      </w:r>
      <w:r w:rsidRPr="007748C4">
        <w:rPr>
          <w:rFonts w:asciiTheme="minorHAnsi" w:hAnsiTheme="minorHAnsi"/>
        </w:rPr>
        <w:tab/>
        <w:t xml:space="preserve">Improving or developing new CTE courses, including the development of POS (specifically for high-skill, high-wage or high demand occupations) and dual or concurrent enrollment opportunities.  </w:t>
      </w:r>
    </w:p>
    <w:p w:rsidR="007748C4" w:rsidRP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ind w:left="720" w:hanging="720"/>
        <w:rPr>
          <w:rFonts w:asciiTheme="minorHAnsi" w:hAnsiTheme="minorHAnsi"/>
        </w:rPr>
      </w:pPr>
    </w:p>
    <w:p w:rsid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rPr>
          <w:rFonts w:asciiTheme="minorHAnsi" w:hAnsiTheme="minorHAnsi"/>
        </w:rPr>
      </w:pPr>
      <w:r w:rsidRPr="007748C4">
        <w:rPr>
          <w:rFonts w:asciiTheme="minorHAnsi" w:hAnsiTheme="minorHAnsi"/>
        </w:rPr>
        <w:t>9.</w:t>
      </w:r>
      <w:r w:rsidRPr="007748C4">
        <w:rPr>
          <w:rFonts w:asciiTheme="minorHAnsi" w:hAnsiTheme="minorHAnsi"/>
        </w:rPr>
        <w:tab/>
        <w:t>Provide support for family and consumer science programs</w:t>
      </w:r>
    </w:p>
    <w:p w:rsidR="007748C4" w:rsidRP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rPr>
          <w:rFonts w:asciiTheme="minorHAnsi" w:hAnsiTheme="minorHAnsi"/>
        </w:rPr>
      </w:pPr>
    </w:p>
    <w:p w:rsid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ind w:left="720" w:hanging="720"/>
        <w:rPr>
          <w:rFonts w:asciiTheme="minorHAnsi" w:hAnsiTheme="minorHAnsi"/>
        </w:rPr>
      </w:pPr>
      <w:r w:rsidRPr="007748C4">
        <w:rPr>
          <w:rFonts w:asciiTheme="minorHAnsi" w:hAnsiTheme="minorHAnsi"/>
        </w:rPr>
        <w:t>10.</w:t>
      </w:r>
      <w:r w:rsidRPr="007748C4">
        <w:rPr>
          <w:rFonts w:asciiTheme="minorHAnsi" w:hAnsiTheme="minorHAnsi"/>
        </w:rPr>
        <w:tab/>
        <w:t>Training, support, mentoring and outreach to students related to NTO; Outreach and mentoring re: NTO</w:t>
      </w:r>
    </w:p>
    <w:p w:rsidR="007748C4" w:rsidRP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ind w:left="720" w:hanging="720"/>
        <w:rPr>
          <w:rFonts w:asciiTheme="minorHAnsi" w:hAnsiTheme="minorHAnsi"/>
        </w:rPr>
      </w:pPr>
    </w:p>
    <w:p w:rsid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rPr>
          <w:rFonts w:asciiTheme="minorHAnsi" w:hAnsiTheme="minorHAnsi"/>
        </w:rPr>
      </w:pPr>
      <w:r w:rsidRPr="007748C4">
        <w:rPr>
          <w:rFonts w:asciiTheme="minorHAnsi" w:hAnsiTheme="minorHAnsi"/>
        </w:rPr>
        <w:t>11.</w:t>
      </w:r>
      <w:r w:rsidRPr="007748C4">
        <w:rPr>
          <w:rFonts w:asciiTheme="minorHAnsi" w:hAnsiTheme="minorHAnsi"/>
        </w:rPr>
        <w:tab/>
        <w:t>Automotive technologies</w:t>
      </w:r>
    </w:p>
    <w:p w:rsidR="007748C4" w:rsidRP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rPr>
          <w:rFonts w:asciiTheme="minorHAnsi" w:hAnsiTheme="minorHAnsi"/>
        </w:rPr>
      </w:pPr>
    </w:p>
    <w:p w:rsidR="007748C4" w:rsidRPr="007748C4" w:rsidRDefault="007748C4" w:rsidP="007748C4">
      <w:pPr>
        <w:pStyle w:val="Default"/>
        <w:pBdr>
          <w:top w:val="single" w:sz="4" w:space="1" w:color="auto"/>
          <w:left w:val="single" w:sz="4" w:space="4" w:color="auto"/>
          <w:bottom w:val="single" w:sz="4" w:space="31" w:color="auto"/>
          <w:right w:val="single" w:sz="4" w:space="4" w:color="auto"/>
          <w:bar w:val="single" w:sz="4" w:color="auto"/>
        </w:pBdr>
        <w:rPr>
          <w:rFonts w:asciiTheme="minorHAnsi" w:hAnsiTheme="minorHAnsi"/>
        </w:rPr>
      </w:pPr>
      <w:r w:rsidRPr="007748C4">
        <w:rPr>
          <w:rFonts w:asciiTheme="minorHAnsi" w:hAnsiTheme="minorHAnsi"/>
        </w:rPr>
        <w:t>12.</w:t>
      </w:r>
      <w:r w:rsidRPr="007748C4">
        <w:rPr>
          <w:rFonts w:asciiTheme="minorHAnsi" w:hAnsiTheme="minorHAnsi"/>
        </w:rPr>
        <w:tab/>
        <w:t>Other CTE activities consistent with the purpose of the Act</w:t>
      </w:r>
    </w:p>
    <w:sectPr w:rsidR="007748C4" w:rsidRPr="007748C4" w:rsidSect="0052240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7BD" w:rsidRDefault="001127BD" w:rsidP="001127BD">
      <w:pPr>
        <w:spacing w:after="0" w:line="240" w:lineRule="auto"/>
      </w:pPr>
      <w:r>
        <w:separator/>
      </w:r>
    </w:p>
  </w:endnote>
  <w:endnote w:type="continuationSeparator" w:id="0">
    <w:p w:rsidR="001127BD" w:rsidRDefault="001127BD" w:rsidP="0011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7BD" w:rsidRDefault="001127BD" w:rsidP="001127BD">
      <w:pPr>
        <w:spacing w:after="0" w:line="240" w:lineRule="auto"/>
      </w:pPr>
      <w:r>
        <w:separator/>
      </w:r>
    </w:p>
  </w:footnote>
  <w:footnote w:type="continuationSeparator" w:id="0">
    <w:p w:rsidR="001127BD" w:rsidRDefault="001127BD" w:rsidP="0011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23" w:rsidRDefault="00391A23" w:rsidP="005055CC">
    <w:pPr>
      <w:pStyle w:val="Header"/>
      <w:rPr>
        <w:rFonts w:ascii="Arial" w:hAnsi="Arial" w:cs="Arial"/>
        <w:b/>
        <w:sz w:val="28"/>
        <w:szCs w:val="28"/>
      </w:rPr>
    </w:pPr>
  </w:p>
  <w:p w:rsidR="00EA4A2C" w:rsidRPr="007E021C" w:rsidRDefault="00EA4A2C" w:rsidP="00391A23">
    <w:pPr>
      <w:pStyle w:val="Header"/>
      <w:jc w:val="center"/>
      <w:rPr>
        <w:rFonts w:ascii="Arial" w:hAnsi="Arial" w:cs="Arial"/>
        <w:b/>
        <w:sz w:val="28"/>
        <w:szCs w:val="28"/>
      </w:rPr>
    </w:pPr>
    <w:r w:rsidRPr="007E021C">
      <w:rPr>
        <w:rFonts w:ascii="Arial" w:hAnsi="Arial" w:cs="Arial"/>
        <w:b/>
        <w:sz w:val="28"/>
        <w:szCs w:val="28"/>
      </w:rPr>
      <w:t>CPA IV Required and Permissive Uses of Funds (SEC 134)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B0"/>
    <w:rsid w:val="001127BD"/>
    <w:rsid w:val="00161B22"/>
    <w:rsid w:val="00325C00"/>
    <w:rsid w:val="00350ADE"/>
    <w:rsid w:val="00382963"/>
    <w:rsid w:val="00391A23"/>
    <w:rsid w:val="004453F7"/>
    <w:rsid w:val="005055CC"/>
    <w:rsid w:val="0052240C"/>
    <w:rsid w:val="00546C93"/>
    <w:rsid w:val="00552784"/>
    <w:rsid w:val="005770FC"/>
    <w:rsid w:val="00712D85"/>
    <w:rsid w:val="007748C4"/>
    <w:rsid w:val="007E021C"/>
    <w:rsid w:val="00827CE8"/>
    <w:rsid w:val="00830F4E"/>
    <w:rsid w:val="00871DA8"/>
    <w:rsid w:val="008903BA"/>
    <w:rsid w:val="008930CE"/>
    <w:rsid w:val="008C5D27"/>
    <w:rsid w:val="00A544B0"/>
    <w:rsid w:val="00AA1BD1"/>
    <w:rsid w:val="00AF3946"/>
    <w:rsid w:val="00B372A3"/>
    <w:rsid w:val="00C17620"/>
    <w:rsid w:val="00D44F91"/>
    <w:rsid w:val="00D95D5F"/>
    <w:rsid w:val="00DC2C58"/>
    <w:rsid w:val="00E45B3A"/>
    <w:rsid w:val="00E543FA"/>
    <w:rsid w:val="00EA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DED5649-55EA-4D9D-B953-F230863A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4B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12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7BD"/>
  </w:style>
  <w:style w:type="paragraph" w:styleId="Footer">
    <w:name w:val="footer"/>
    <w:basedOn w:val="Normal"/>
    <w:link w:val="FooterChar"/>
    <w:uiPriority w:val="99"/>
    <w:unhideWhenUsed/>
    <w:rsid w:val="00112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7BD"/>
  </w:style>
  <w:style w:type="paragraph" w:styleId="BalloonText">
    <w:name w:val="Balloon Text"/>
    <w:basedOn w:val="Normal"/>
    <w:link w:val="BalloonTextChar"/>
    <w:uiPriority w:val="99"/>
    <w:semiHidden/>
    <w:unhideWhenUsed/>
    <w:rsid w:val="00325C00"/>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325C00"/>
    <w:rPr>
      <w:rFonts w:ascii="MS Shell Dlg" w:hAnsi="MS Shell Dlg" w:cs="MS Shell Dl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Required and permissive uses of Carl perkis act Iv grant funds</vt:lpstr>
    </vt:vector>
  </TitlesOfParts>
  <Company>Department of Public Instruction</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and permissive uses of Carl perkis act Iv grant funds</dc:title>
  <dc:subject/>
  <dc:creator>Lenske, Christine A.   DPI</dc:creator>
  <cp:keywords/>
  <dc:description/>
  <cp:lastModifiedBy>Hutchison, Carol S.   DPI</cp:lastModifiedBy>
  <cp:revision>2</cp:revision>
  <cp:lastPrinted>2018-05-08T15:31:00Z</cp:lastPrinted>
  <dcterms:created xsi:type="dcterms:W3CDTF">2019-02-26T14:16:00Z</dcterms:created>
  <dcterms:modified xsi:type="dcterms:W3CDTF">2019-02-26T14:16:00Z</dcterms:modified>
</cp:coreProperties>
</file>