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B6B3D" w14:textId="44D4A792" w:rsidR="00866816" w:rsidRDefault="00866816"/>
    <w:p w14:paraId="7715EC80" w14:textId="77777777" w:rsidR="00AC797F" w:rsidRDefault="00AC797F" w:rsidP="00AC797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eastAsia="Times New Roman" w:hAnsi="Arial" w:cs="Arial"/>
          <w:b/>
          <w:bCs/>
          <w:i/>
          <w:iCs/>
        </w:rPr>
        <w:t>Perkins Student Performance on Accountability Indicator Program Improvement Plan (PIP)</w:t>
      </w:r>
    </w:p>
    <w:p w14:paraId="1F1ECFCE" w14:textId="77777777" w:rsidR="00AC797F" w:rsidRDefault="00AC797F" w:rsidP="00AC797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eastAsia="Times New Roman" w:hAnsi="Arial" w:cs="Arial"/>
          <w:b/>
          <w:bCs/>
          <w:i/>
          <w:iCs/>
        </w:rPr>
        <w:t>WORKSHEET</w:t>
      </w:r>
    </w:p>
    <w:p w14:paraId="18405552" w14:textId="77777777" w:rsidR="00AC797F" w:rsidRDefault="00AC797F" w:rsidP="00AC797F">
      <w:pPr>
        <w:jc w:val="center"/>
        <w:rPr>
          <w:rFonts w:ascii="Arial" w:eastAsia="Times New Roman" w:hAnsi="Arial" w:cs="Arial"/>
          <w:highlight w:val="yellow"/>
        </w:rPr>
      </w:pPr>
    </w:p>
    <w:p w14:paraId="73F36A41" w14:textId="77777777" w:rsidR="007B04DA" w:rsidRDefault="007B04DA" w:rsidP="00BE47AE">
      <w:pPr>
        <w:spacing w:after="0"/>
        <w:rPr>
          <w:rFonts w:ascii="Arial" w:hAnsi="Arial" w:cs="Arial"/>
          <w:sz w:val="20"/>
          <w:szCs w:val="20"/>
        </w:rPr>
      </w:pPr>
      <w:r w:rsidRPr="007B04DA">
        <w:rPr>
          <w:rFonts w:ascii="Arial" w:hAnsi="Arial" w:cs="Arial"/>
          <w:sz w:val="20"/>
          <w:szCs w:val="20"/>
        </w:rPr>
        <w:t>If a recipient fails to meet at least 90 percent of the performance level for any of the performance indicators, the eligible recipient shall develop and implement a program improvement plan (</w:t>
      </w:r>
      <w:r>
        <w:rPr>
          <w:rFonts w:ascii="Arial" w:hAnsi="Arial" w:cs="Arial"/>
          <w:sz w:val="20"/>
          <w:szCs w:val="20"/>
        </w:rPr>
        <w:t>including</w:t>
      </w:r>
      <w:r w:rsidRPr="007B04DA">
        <w:rPr>
          <w:rFonts w:ascii="Arial" w:hAnsi="Arial" w:cs="Arial"/>
          <w:sz w:val="20"/>
          <w:szCs w:val="20"/>
        </w:rPr>
        <w:t xml:space="preserve"> an analysis of the performance disparities or gaps identified under section 113(b)(3)(C)(ii)(ii), and actions that will be taken to address such gaps)</w:t>
      </w:r>
      <w:r>
        <w:rPr>
          <w:rFonts w:ascii="Arial" w:hAnsi="Arial" w:cs="Arial"/>
          <w:sz w:val="20"/>
          <w:szCs w:val="20"/>
        </w:rPr>
        <w:t>,</w:t>
      </w:r>
      <w:r w:rsidRPr="007B04DA">
        <w:rPr>
          <w:rFonts w:ascii="Arial" w:hAnsi="Arial" w:cs="Arial"/>
          <w:sz w:val="20"/>
          <w:szCs w:val="20"/>
        </w:rPr>
        <w:t xml:space="preserve"> in consultation with local stakeholders described in section 134(d)(1). </w:t>
      </w:r>
    </w:p>
    <w:p w14:paraId="28CE7BD0" w14:textId="77777777" w:rsidR="007B04DA" w:rsidRDefault="007B04DA" w:rsidP="00BE47AE">
      <w:pPr>
        <w:spacing w:after="0"/>
        <w:rPr>
          <w:rFonts w:ascii="Arial" w:hAnsi="Arial" w:cs="Arial"/>
          <w:sz w:val="20"/>
          <w:szCs w:val="20"/>
        </w:rPr>
      </w:pPr>
    </w:p>
    <w:p w14:paraId="73D106E3" w14:textId="30D546C9" w:rsidR="007B04DA" w:rsidRDefault="007B04DA" w:rsidP="00BE47AE">
      <w:pPr>
        <w:spacing w:after="0"/>
        <w:rPr>
          <w:rFonts w:ascii="Arial" w:hAnsi="Arial" w:cs="Arial"/>
          <w:sz w:val="20"/>
          <w:szCs w:val="20"/>
        </w:rPr>
      </w:pPr>
      <w:r w:rsidRPr="007B04DA">
        <w:rPr>
          <w:rFonts w:ascii="Arial" w:hAnsi="Arial" w:cs="Arial"/>
          <w:sz w:val="20"/>
          <w:szCs w:val="20"/>
        </w:rPr>
        <w:t xml:space="preserve">The template for the Program Improvement Plan (PIP) </w:t>
      </w:r>
      <w:r>
        <w:rPr>
          <w:rFonts w:ascii="Arial" w:hAnsi="Arial" w:cs="Arial"/>
          <w:sz w:val="20"/>
          <w:szCs w:val="20"/>
        </w:rPr>
        <w:t xml:space="preserve">will </w:t>
      </w:r>
      <w:proofErr w:type="gramStart"/>
      <w:r>
        <w:rPr>
          <w:rFonts w:ascii="Arial" w:hAnsi="Arial" w:cs="Arial"/>
          <w:sz w:val="20"/>
          <w:szCs w:val="20"/>
        </w:rPr>
        <w:t>be</w:t>
      </w:r>
      <w:r w:rsidRPr="007B04DA">
        <w:rPr>
          <w:rFonts w:ascii="Arial" w:hAnsi="Arial" w:cs="Arial"/>
          <w:sz w:val="20"/>
          <w:szCs w:val="20"/>
        </w:rPr>
        <w:t xml:space="preserve"> located in</w:t>
      </w:r>
      <w:proofErr w:type="gramEnd"/>
      <w:r w:rsidRPr="007B04DA">
        <w:rPr>
          <w:rFonts w:ascii="Arial" w:hAnsi="Arial" w:cs="Arial"/>
          <w:sz w:val="20"/>
          <w:szCs w:val="20"/>
        </w:rPr>
        <w:t xml:space="preserve"> the Perkins Accountability section in </w:t>
      </w:r>
      <w:proofErr w:type="spellStart"/>
      <w:r w:rsidRPr="007B04DA">
        <w:rPr>
          <w:rFonts w:ascii="Arial" w:hAnsi="Arial" w:cs="Arial"/>
          <w:sz w:val="20"/>
          <w:szCs w:val="20"/>
        </w:rPr>
        <w:t>WISEgrants</w:t>
      </w:r>
      <w:proofErr w:type="spellEnd"/>
      <w:r w:rsidRPr="007B04D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Please note that the</w:t>
      </w:r>
      <w:r w:rsidRPr="007B04DA">
        <w:rPr>
          <w:rFonts w:ascii="Arial" w:hAnsi="Arial" w:cs="Arial"/>
          <w:sz w:val="20"/>
          <w:szCs w:val="20"/>
        </w:rPr>
        <w:t xml:space="preserve"> PIP is NOT part of the Perkins application. However, it will be required to be submitted and approved prior to the Perkins recipient (fiscal agent) receiving claims reimbursement after </w:t>
      </w:r>
      <w:r>
        <w:rPr>
          <w:rFonts w:ascii="Arial" w:hAnsi="Arial" w:cs="Arial"/>
          <w:sz w:val="20"/>
          <w:szCs w:val="20"/>
        </w:rPr>
        <w:t xml:space="preserve">the due date of </w:t>
      </w:r>
      <w:r w:rsidRPr="007B04DA">
        <w:rPr>
          <w:rFonts w:ascii="Arial" w:hAnsi="Arial" w:cs="Arial"/>
          <w:sz w:val="20"/>
          <w:szCs w:val="20"/>
        </w:rPr>
        <w:t xml:space="preserve">November 1. </w:t>
      </w:r>
    </w:p>
    <w:p w14:paraId="2E3F5463" w14:textId="77777777" w:rsidR="007B04DA" w:rsidRDefault="007B04DA" w:rsidP="00BE47AE">
      <w:pPr>
        <w:spacing w:after="0"/>
        <w:rPr>
          <w:rFonts w:ascii="Arial" w:hAnsi="Arial" w:cs="Arial"/>
          <w:sz w:val="20"/>
          <w:szCs w:val="20"/>
        </w:rPr>
      </w:pPr>
    </w:p>
    <w:p w14:paraId="4C037946" w14:textId="66AB48D8" w:rsidR="007B04DA" w:rsidRPr="007B04DA" w:rsidRDefault="007B04DA" w:rsidP="00BE47AE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7B04DA">
        <w:rPr>
          <w:rFonts w:ascii="Arial" w:hAnsi="Arial" w:cs="Arial"/>
          <w:sz w:val="20"/>
          <w:szCs w:val="20"/>
        </w:rPr>
        <w:t xml:space="preserve">Agencies </w:t>
      </w:r>
      <w:r>
        <w:rPr>
          <w:rFonts w:ascii="Arial" w:hAnsi="Arial" w:cs="Arial"/>
          <w:sz w:val="20"/>
          <w:szCs w:val="20"/>
        </w:rPr>
        <w:t>complete the</w:t>
      </w:r>
      <w:r w:rsidR="00486327">
        <w:rPr>
          <w:rFonts w:ascii="Arial" w:hAnsi="Arial" w:cs="Arial"/>
          <w:sz w:val="20"/>
          <w:szCs w:val="20"/>
        </w:rPr>
        <w:t xml:space="preserve"> PIP </w:t>
      </w:r>
      <w:r>
        <w:rPr>
          <w:rFonts w:ascii="Arial" w:hAnsi="Arial" w:cs="Arial"/>
          <w:sz w:val="20"/>
          <w:szCs w:val="20"/>
        </w:rPr>
        <w:t>within</w:t>
      </w:r>
      <w:r w:rsidRPr="007B04DA">
        <w:rPr>
          <w:rFonts w:ascii="Arial" w:hAnsi="Arial" w:cs="Arial"/>
          <w:sz w:val="20"/>
          <w:szCs w:val="20"/>
        </w:rPr>
        <w:t xml:space="preserve"> the Accountability section of </w:t>
      </w:r>
      <w:proofErr w:type="spellStart"/>
      <w:r w:rsidRPr="007B04DA">
        <w:rPr>
          <w:rFonts w:ascii="Arial" w:hAnsi="Arial" w:cs="Arial"/>
          <w:sz w:val="20"/>
          <w:szCs w:val="20"/>
        </w:rPr>
        <w:t>WISEgrants</w:t>
      </w:r>
      <w:proofErr w:type="spellEnd"/>
      <w:r w:rsidRPr="007B04DA">
        <w:rPr>
          <w:rFonts w:ascii="Arial" w:hAnsi="Arial" w:cs="Arial"/>
          <w:sz w:val="20"/>
          <w:szCs w:val="20"/>
        </w:rPr>
        <w:t xml:space="preserve"> and submit</w:t>
      </w:r>
      <w:r>
        <w:rPr>
          <w:rFonts w:ascii="Arial" w:hAnsi="Arial" w:cs="Arial"/>
          <w:sz w:val="20"/>
          <w:szCs w:val="20"/>
        </w:rPr>
        <w:t xml:space="preserve"> it</w:t>
      </w:r>
      <w:r w:rsidRPr="007B04DA">
        <w:rPr>
          <w:rFonts w:ascii="Arial" w:hAnsi="Arial" w:cs="Arial"/>
          <w:sz w:val="20"/>
          <w:szCs w:val="20"/>
        </w:rPr>
        <w:t xml:space="preserve"> at the same time </w:t>
      </w:r>
      <w:r w:rsidR="00AB20D3">
        <w:rPr>
          <w:rFonts w:ascii="Arial" w:hAnsi="Arial" w:cs="Arial"/>
          <w:sz w:val="20"/>
          <w:szCs w:val="20"/>
        </w:rPr>
        <w:t xml:space="preserve">as </w:t>
      </w:r>
      <w:r w:rsidRPr="007B04DA">
        <w:rPr>
          <w:rFonts w:ascii="Arial" w:hAnsi="Arial" w:cs="Arial"/>
          <w:b/>
          <w:bCs/>
          <w:sz w:val="20"/>
          <w:szCs w:val="20"/>
        </w:rPr>
        <w:t>final allocation budget amendments</w:t>
      </w:r>
      <w:r w:rsidRPr="007B04DA">
        <w:rPr>
          <w:rFonts w:ascii="Arial" w:hAnsi="Arial" w:cs="Arial"/>
          <w:sz w:val="20"/>
          <w:szCs w:val="20"/>
        </w:rPr>
        <w:t xml:space="preserve"> are submitted (</w:t>
      </w:r>
      <w:r>
        <w:rPr>
          <w:rFonts w:ascii="Arial" w:hAnsi="Arial" w:cs="Arial"/>
          <w:sz w:val="20"/>
          <w:szCs w:val="20"/>
        </w:rPr>
        <w:t xml:space="preserve">anytime </w:t>
      </w:r>
      <w:r w:rsidRPr="007B04DA">
        <w:rPr>
          <w:rFonts w:ascii="Arial" w:hAnsi="Arial" w:cs="Arial"/>
          <w:sz w:val="20"/>
          <w:szCs w:val="20"/>
        </w:rPr>
        <w:t xml:space="preserve">between </w:t>
      </w:r>
      <w:r>
        <w:rPr>
          <w:rFonts w:ascii="Arial" w:hAnsi="Arial" w:cs="Arial"/>
          <w:sz w:val="20"/>
          <w:szCs w:val="20"/>
        </w:rPr>
        <w:t xml:space="preserve">mid-September </w:t>
      </w:r>
      <w:r w:rsidRPr="007B04DA">
        <w:rPr>
          <w:rFonts w:ascii="Arial" w:hAnsi="Arial" w:cs="Arial"/>
          <w:sz w:val="20"/>
          <w:szCs w:val="20"/>
        </w:rPr>
        <w:t>and Nov 1st).</w:t>
      </w:r>
    </w:p>
    <w:p w14:paraId="41D3FE52" w14:textId="77777777" w:rsidR="007B04DA" w:rsidRPr="007B04DA" w:rsidRDefault="007B04DA" w:rsidP="00BE47AE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3B8560A" w14:textId="147AB08E" w:rsidR="00BE47AE" w:rsidRPr="007B04DA" w:rsidRDefault="00BE47AE" w:rsidP="00BE47AE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7B04DA">
        <w:rPr>
          <w:rFonts w:ascii="Arial" w:hAnsi="Arial" w:cs="Arial"/>
          <w:b/>
          <w:bCs/>
          <w:sz w:val="20"/>
          <w:szCs w:val="20"/>
          <w:u w:val="single"/>
        </w:rPr>
        <w:t>Terms Defined:</w:t>
      </w:r>
    </w:p>
    <w:p w14:paraId="2D2D53D2" w14:textId="0608C624" w:rsidR="00213E41" w:rsidRPr="007B04DA" w:rsidRDefault="00BE47AE" w:rsidP="0006128A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06128A">
        <w:rPr>
          <w:rFonts w:ascii="Arial" w:hAnsi="Arial" w:cs="Arial"/>
          <w:b/>
          <w:bCs/>
          <w:sz w:val="20"/>
          <w:szCs w:val="20"/>
        </w:rPr>
        <w:t>Disaggregated data:</w:t>
      </w:r>
      <w:r w:rsidR="00486327">
        <w:rPr>
          <w:rFonts w:ascii="Arial" w:hAnsi="Arial" w:cs="Arial"/>
          <w:sz w:val="20"/>
          <w:szCs w:val="20"/>
        </w:rPr>
        <w:t xml:space="preserve"> Data broken out and analyzed by race, ethnicity and special population groups as defined by Perkins.</w:t>
      </w:r>
    </w:p>
    <w:p w14:paraId="360567DD" w14:textId="4FE36AE5" w:rsidR="00BE47AE" w:rsidRPr="007B04DA" w:rsidRDefault="00BE47AE" w:rsidP="0006128A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06128A">
        <w:rPr>
          <w:rFonts w:ascii="Arial" w:hAnsi="Arial" w:cs="Arial"/>
          <w:b/>
          <w:bCs/>
          <w:sz w:val="20"/>
          <w:szCs w:val="20"/>
        </w:rPr>
        <w:t>Root cause:</w:t>
      </w:r>
      <w:r w:rsidR="00486327">
        <w:rPr>
          <w:rFonts w:ascii="Arial" w:hAnsi="Arial" w:cs="Arial"/>
          <w:sz w:val="20"/>
          <w:szCs w:val="20"/>
        </w:rPr>
        <w:t xml:space="preserve"> </w:t>
      </w:r>
      <w:r w:rsidR="00CB3020">
        <w:rPr>
          <w:rFonts w:ascii="Arial" w:hAnsi="Arial" w:cs="Arial"/>
          <w:sz w:val="20"/>
          <w:szCs w:val="20"/>
        </w:rPr>
        <w:t>The u</w:t>
      </w:r>
      <w:r w:rsidR="00486327">
        <w:rPr>
          <w:rFonts w:ascii="Arial" w:hAnsi="Arial" w:cs="Arial"/>
          <w:sz w:val="20"/>
          <w:szCs w:val="20"/>
        </w:rPr>
        <w:t>nderlying reason for</w:t>
      </w:r>
      <w:r w:rsidR="00AA5204">
        <w:rPr>
          <w:rFonts w:ascii="Arial" w:hAnsi="Arial" w:cs="Arial"/>
          <w:sz w:val="20"/>
          <w:szCs w:val="20"/>
        </w:rPr>
        <w:t xml:space="preserve"> any</w:t>
      </w:r>
      <w:r w:rsidR="00486327">
        <w:rPr>
          <w:rFonts w:ascii="Arial" w:hAnsi="Arial" w:cs="Arial"/>
          <w:sz w:val="20"/>
          <w:szCs w:val="20"/>
        </w:rPr>
        <w:t xml:space="preserve"> disproportionate gap in the performance level</w:t>
      </w:r>
      <w:r w:rsidR="00CB3020">
        <w:rPr>
          <w:rFonts w:ascii="Arial" w:hAnsi="Arial" w:cs="Arial"/>
          <w:sz w:val="20"/>
          <w:szCs w:val="20"/>
        </w:rPr>
        <w:t xml:space="preserve"> as determine by stakeholders</w:t>
      </w:r>
      <w:r w:rsidR="00486327">
        <w:rPr>
          <w:rFonts w:ascii="Arial" w:hAnsi="Arial" w:cs="Arial"/>
          <w:sz w:val="20"/>
          <w:szCs w:val="20"/>
        </w:rPr>
        <w:t>.</w:t>
      </w:r>
      <w:r w:rsidR="00AA5204">
        <w:rPr>
          <w:rFonts w:ascii="Arial" w:hAnsi="Arial" w:cs="Arial"/>
          <w:sz w:val="20"/>
          <w:szCs w:val="20"/>
        </w:rPr>
        <w:t xml:space="preserve"> The “why” behind the data.</w:t>
      </w:r>
    </w:p>
    <w:p w14:paraId="473667F5" w14:textId="3223D064" w:rsidR="00BE47AE" w:rsidRPr="007B04DA" w:rsidRDefault="00BE47AE" w:rsidP="0006128A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06128A">
        <w:rPr>
          <w:rFonts w:ascii="Arial" w:hAnsi="Arial" w:cs="Arial"/>
          <w:b/>
          <w:bCs/>
          <w:sz w:val="20"/>
          <w:szCs w:val="20"/>
        </w:rPr>
        <w:t>Stakeholders:</w:t>
      </w:r>
      <w:r w:rsidR="00AA5204">
        <w:rPr>
          <w:rFonts w:ascii="Arial" w:hAnsi="Arial" w:cs="Arial"/>
          <w:sz w:val="20"/>
          <w:szCs w:val="20"/>
        </w:rPr>
        <w:t xml:space="preserve"> May include a variety of individuals who impact or are impacted by the levels</w:t>
      </w:r>
      <w:r w:rsidR="00CB3020">
        <w:rPr>
          <w:rFonts w:ascii="Arial" w:hAnsi="Arial" w:cs="Arial"/>
          <w:sz w:val="20"/>
          <w:szCs w:val="20"/>
        </w:rPr>
        <w:t>. P</w:t>
      </w:r>
      <w:r w:rsidR="0006128A">
        <w:rPr>
          <w:rFonts w:ascii="Arial" w:hAnsi="Arial" w:cs="Arial"/>
          <w:sz w:val="20"/>
          <w:szCs w:val="20"/>
        </w:rPr>
        <w:t xml:space="preserve">arents, students, teachers, </w:t>
      </w:r>
      <w:proofErr w:type="gramStart"/>
      <w:r w:rsidR="0006128A">
        <w:rPr>
          <w:rFonts w:ascii="Arial" w:hAnsi="Arial" w:cs="Arial"/>
          <w:sz w:val="20"/>
          <w:szCs w:val="20"/>
        </w:rPr>
        <w:t>business</w:t>
      </w:r>
      <w:proofErr w:type="gramEnd"/>
      <w:r w:rsidR="0006128A">
        <w:rPr>
          <w:rFonts w:ascii="Arial" w:hAnsi="Arial" w:cs="Arial"/>
          <w:sz w:val="20"/>
          <w:szCs w:val="20"/>
        </w:rPr>
        <w:t xml:space="preserve"> and industry </w:t>
      </w:r>
      <w:r w:rsidR="00CB3020">
        <w:rPr>
          <w:rFonts w:ascii="Arial" w:hAnsi="Arial" w:cs="Arial"/>
          <w:sz w:val="20"/>
          <w:szCs w:val="20"/>
        </w:rPr>
        <w:t xml:space="preserve">partners </w:t>
      </w:r>
      <w:r w:rsidR="0006128A">
        <w:rPr>
          <w:rFonts w:ascii="Arial" w:hAnsi="Arial" w:cs="Arial"/>
          <w:sz w:val="20"/>
          <w:szCs w:val="20"/>
        </w:rPr>
        <w:t>as appropriate for the indicator.</w:t>
      </w:r>
    </w:p>
    <w:p w14:paraId="7467A4CB" w14:textId="63608066" w:rsidR="00ED20CE" w:rsidRPr="00ED20CE" w:rsidRDefault="00BE47AE" w:rsidP="00ED20CE">
      <w:pPr>
        <w:spacing w:before="240" w:line="240" w:lineRule="auto"/>
        <w:rPr>
          <w:rFonts w:ascii="Arial" w:hAnsi="Arial" w:cs="Arial"/>
          <w:b/>
          <w:bCs/>
          <w:sz w:val="20"/>
          <w:szCs w:val="20"/>
        </w:rPr>
      </w:pPr>
      <w:r w:rsidRPr="0006128A">
        <w:rPr>
          <w:rFonts w:ascii="Arial" w:hAnsi="Arial" w:cs="Arial"/>
          <w:b/>
          <w:bCs/>
          <w:sz w:val="20"/>
          <w:szCs w:val="20"/>
        </w:rPr>
        <w:t xml:space="preserve">Strategies, actions, activities: </w:t>
      </w:r>
      <w:r w:rsidR="0006128A" w:rsidRPr="0006128A">
        <w:rPr>
          <w:rFonts w:ascii="Arial" w:hAnsi="Arial" w:cs="Arial"/>
          <w:sz w:val="20"/>
          <w:szCs w:val="20"/>
        </w:rPr>
        <w:t xml:space="preserve">This section </w:t>
      </w:r>
      <w:r w:rsidR="00ED20CE">
        <w:rPr>
          <w:rFonts w:ascii="Arial" w:hAnsi="Arial" w:cs="Arial"/>
          <w:sz w:val="20"/>
          <w:szCs w:val="20"/>
        </w:rPr>
        <w:t>addresses those things</w:t>
      </w:r>
      <w:r w:rsidR="0006128A" w:rsidRPr="0006128A">
        <w:rPr>
          <w:rFonts w:ascii="Arial" w:hAnsi="Arial" w:cs="Arial"/>
          <w:sz w:val="20"/>
          <w:szCs w:val="20"/>
        </w:rPr>
        <w:t xml:space="preserve"> what will be done to improve the indicator level</w:t>
      </w:r>
      <w:r w:rsidR="00ED20CE">
        <w:rPr>
          <w:rFonts w:ascii="Arial" w:hAnsi="Arial" w:cs="Arial"/>
          <w:sz w:val="20"/>
          <w:szCs w:val="20"/>
        </w:rPr>
        <w:t xml:space="preserve">, </w:t>
      </w:r>
      <w:r w:rsidR="0006128A" w:rsidRPr="0006128A">
        <w:rPr>
          <w:rFonts w:ascii="Arial" w:hAnsi="Arial" w:cs="Arial"/>
          <w:sz w:val="20"/>
          <w:szCs w:val="20"/>
        </w:rPr>
        <w:t xml:space="preserve">as identified by </w:t>
      </w:r>
      <w:proofErr w:type="gramStart"/>
      <w:r w:rsidR="0006128A" w:rsidRPr="0006128A">
        <w:rPr>
          <w:rFonts w:ascii="Arial" w:hAnsi="Arial" w:cs="Arial"/>
          <w:sz w:val="20"/>
          <w:szCs w:val="20"/>
        </w:rPr>
        <w:t>stakeholders</w:t>
      </w:r>
      <w:proofErr w:type="gramEnd"/>
      <w:r w:rsidR="0006128A" w:rsidRPr="0006128A">
        <w:rPr>
          <w:rFonts w:ascii="Arial" w:hAnsi="Arial" w:cs="Arial"/>
          <w:sz w:val="20"/>
          <w:szCs w:val="20"/>
        </w:rPr>
        <w:t xml:space="preserve"> </w:t>
      </w:r>
      <w:r w:rsidR="00ED20CE">
        <w:rPr>
          <w:rFonts w:ascii="Arial" w:hAnsi="Arial" w:cs="Arial"/>
          <w:sz w:val="20"/>
          <w:szCs w:val="20"/>
        </w:rPr>
        <w:t>and connected to the root cause.</w:t>
      </w:r>
    </w:p>
    <w:p w14:paraId="366AE616" w14:textId="599DB943" w:rsidR="0006128A" w:rsidRPr="007B04DA" w:rsidRDefault="000612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Consideration: If your agency met an indicator by a fraction of a percent, it may be worthwhile to complete an assessment </w:t>
      </w:r>
      <w:r w:rsidR="00CB3020">
        <w:rPr>
          <w:rFonts w:ascii="Arial" w:hAnsi="Arial" w:cs="Arial"/>
          <w:sz w:val="20"/>
          <w:szCs w:val="20"/>
        </w:rPr>
        <w:t>to determine if there are strategies that may be targeted to raise the level of the agency for the given indicator.</w:t>
      </w:r>
    </w:p>
    <w:tbl>
      <w:tblPr>
        <w:tblW w:w="143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2"/>
        <w:gridCol w:w="9540"/>
      </w:tblGrid>
      <w:tr w:rsidR="00A72ED6" w:rsidRPr="0079364F" w14:paraId="4B8AE970" w14:textId="77777777" w:rsidTr="00BE47AE">
        <w:trPr>
          <w:trHeight w:val="315"/>
        </w:trPr>
        <w:tc>
          <w:tcPr>
            <w:tcW w:w="14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69436" w14:textId="77777777" w:rsidR="00A72ED6" w:rsidRPr="00AC797F" w:rsidRDefault="00A72ED6" w:rsidP="00ED20CE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5F333BD3" w14:textId="283E4C6C" w:rsidR="00A72ED6" w:rsidRPr="0079364F" w:rsidRDefault="00A72ED6" w:rsidP="00A72ED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Enter the Student Performance </w:t>
            </w:r>
            <w:r w:rsidRPr="0079364F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Accountability Indicator </w:t>
            </w: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level missed: </w:t>
            </w:r>
          </w:p>
        </w:tc>
      </w:tr>
      <w:tr w:rsidR="00A72ED6" w:rsidRPr="0079364F" w14:paraId="12F515F7" w14:textId="35B5D80E" w:rsidTr="00ED20CE">
        <w:trPr>
          <w:trHeight w:val="315"/>
        </w:trPr>
        <w:tc>
          <w:tcPr>
            <w:tcW w:w="47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A5B16" w14:textId="77777777" w:rsidR="00A72ED6" w:rsidRPr="0079364F" w:rsidRDefault="00A72ED6" w:rsidP="00A72ED6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79364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Disaggregated data reviewed and gaps found:</w:t>
            </w:r>
          </w:p>
        </w:tc>
        <w:tc>
          <w:tcPr>
            <w:tcW w:w="9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E67DC" w14:textId="77777777" w:rsidR="00A72ED6" w:rsidRPr="00A72ED6" w:rsidRDefault="00A72ED6" w:rsidP="001249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2ED6" w:rsidRPr="0079364F" w14:paraId="5AF4DE28" w14:textId="3B531413" w:rsidTr="00ED20CE">
        <w:trPr>
          <w:trHeight w:val="315"/>
        </w:trPr>
        <w:tc>
          <w:tcPr>
            <w:tcW w:w="47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85655" w14:textId="77777777" w:rsidR="00A72ED6" w:rsidRPr="0079364F" w:rsidRDefault="00A72ED6" w:rsidP="00A72ED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79364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Root cause of gaps</w:t>
            </w:r>
          </w:p>
        </w:tc>
        <w:tc>
          <w:tcPr>
            <w:tcW w:w="9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5FCBB" w14:textId="77777777" w:rsidR="00A72ED6" w:rsidRPr="00A72ED6" w:rsidRDefault="00A72ED6" w:rsidP="001249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2ED6" w:rsidRPr="0079364F" w14:paraId="150B8792" w14:textId="1B2D9E5A" w:rsidTr="00ED20CE">
        <w:trPr>
          <w:trHeight w:val="315"/>
        </w:trPr>
        <w:tc>
          <w:tcPr>
            <w:tcW w:w="47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B9838" w14:textId="77777777" w:rsidR="00A72ED6" w:rsidRPr="0079364F" w:rsidRDefault="00A72ED6" w:rsidP="00A72ED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79364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Stakeholders engaged</w:t>
            </w:r>
          </w:p>
        </w:tc>
        <w:tc>
          <w:tcPr>
            <w:tcW w:w="9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0A575" w14:textId="77777777" w:rsidR="00A72ED6" w:rsidRPr="00A72ED6" w:rsidRDefault="00A72ED6" w:rsidP="001249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2ED6" w:rsidRPr="0079364F" w14:paraId="59F8E148" w14:textId="3F784D46" w:rsidTr="00ED20CE">
        <w:trPr>
          <w:trHeight w:val="315"/>
        </w:trPr>
        <w:tc>
          <w:tcPr>
            <w:tcW w:w="47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C9CD0" w14:textId="4691A732" w:rsidR="00A72ED6" w:rsidRPr="0079364F" w:rsidRDefault="00A72ED6" w:rsidP="00A72ED6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79364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The strategy, action or activity that will be implemented in 2022-23 SFY to increase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performance level</w:t>
            </w:r>
            <w:r w:rsidRPr="0079364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9531F" w14:textId="77777777" w:rsidR="00A72ED6" w:rsidRPr="00A72ED6" w:rsidRDefault="00A72ED6" w:rsidP="001249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A45F7E2" w14:textId="4729EF2A" w:rsidR="00213E41" w:rsidRDefault="00ED20CE">
      <w:r w:rsidRPr="007B04DA">
        <w:rPr>
          <w:rFonts w:ascii="Arial" w:hAnsi="Arial" w:cs="Arial"/>
          <w:sz w:val="20"/>
          <w:szCs w:val="20"/>
        </w:rPr>
        <w:t xml:space="preserve">Copy and paste </w:t>
      </w:r>
      <w:r>
        <w:rPr>
          <w:rFonts w:ascii="Arial" w:hAnsi="Arial" w:cs="Arial"/>
          <w:sz w:val="20"/>
          <w:szCs w:val="20"/>
        </w:rPr>
        <w:t>additional</w:t>
      </w:r>
      <w:r w:rsidRPr="007B04DA">
        <w:rPr>
          <w:rFonts w:ascii="Arial" w:hAnsi="Arial" w:cs="Arial"/>
          <w:sz w:val="20"/>
          <w:szCs w:val="20"/>
        </w:rPr>
        <w:t xml:space="preserve"> table</w:t>
      </w:r>
      <w:r>
        <w:rPr>
          <w:rFonts w:ascii="Arial" w:hAnsi="Arial" w:cs="Arial"/>
          <w:sz w:val="20"/>
          <w:szCs w:val="20"/>
        </w:rPr>
        <w:t>s</w:t>
      </w:r>
      <w:r w:rsidRPr="007B04DA">
        <w:rPr>
          <w:rFonts w:ascii="Arial" w:hAnsi="Arial" w:cs="Arial"/>
          <w:sz w:val="20"/>
          <w:szCs w:val="20"/>
        </w:rPr>
        <w:t xml:space="preserve"> for as many performance levels missed by your agency.</w:t>
      </w:r>
    </w:p>
    <w:sectPr w:rsidR="00213E41" w:rsidSect="00CB302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4F"/>
    <w:rsid w:val="0006128A"/>
    <w:rsid w:val="001D05B2"/>
    <w:rsid w:val="00213E41"/>
    <w:rsid w:val="002C256A"/>
    <w:rsid w:val="00486327"/>
    <w:rsid w:val="006358B0"/>
    <w:rsid w:val="0079364F"/>
    <w:rsid w:val="007B04DA"/>
    <w:rsid w:val="00866816"/>
    <w:rsid w:val="008C3056"/>
    <w:rsid w:val="00A72ED6"/>
    <w:rsid w:val="00AA5204"/>
    <w:rsid w:val="00AB20D3"/>
    <w:rsid w:val="00AC797F"/>
    <w:rsid w:val="00BE47AE"/>
    <w:rsid w:val="00CB3020"/>
    <w:rsid w:val="00D30154"/>
    <w:rsid w:val="00ED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B0424"/>
  <w15:chartTrackingRefBased/>
  <w15:docId w15:val="{3C2094FB-5CA3-42E0-A7AA-CD4CB532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8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Lenske, Christine A.   DPI</dc:creator>
  <cp:keywords/>
  <dc:description/>
  <cp:lastModifiedBy>Hutchison, Carol S.   DPI</cp:lastModifiedBy>
  <cp:revision>2</cp:revision>
  <dcterms:created xsi:type="dcterms:W3CDTF">2022-04-12T19:04:00Z</dcterms:created>
  <dcterms:modified xsi:type="dcterms:W3CDTF">2022-04-12T19:04:00Z</dcterms:modified>
</cp:coreProperties>
</file>