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E7" w:rsidRPr="00042656" w:rsidRDefault="00BC41E7" w:rsidP="00BC41E7">
      <w:pPr>
        <w:pStyle w:val="Title"/>
        <w:rPr>
          <w:rFonts w:ascii="Lato" w:eastAsiaTheme="minorHAnsi" w:hAnsi="Lato" w:cs="Arial"/>
          <w:sz w:val="28"/>
          <w:szCs w:val="24"/>
        </w:rPr>
      </w:pPr>
      <w:bookmarkStart w:id="0" w:name="_GoBack"/>
      <w:bookmarkEnd w:id="0"/>
      <w:r w:rsidRPr="00042656">
        <w:rPr>
          <w:rFonts w:ascii="Lato" w:eastAsiaTheme="minorHAnsi" w:hAnsi="Lato" w:cs="Arial"/>
          <w:sz w:val="28"/>
          <w:szCs w:val="24"/>
        </w:rPr>
        <w:t>Afterschool Snack Meal Pattern Decision Flowchart</w:t>
      </w:r>
    </w:p>
    <w:p w:rsidR="00D54216" w:rsidRPr="00042656" w:rsidRDefault="00BC41E7" w:rsidP="00042656">
      <w:pPr>
        <w:pStyle w:val="Heading1"/>
        <w:rPr>
          <w:rFonts w:ascii="Lato" w:eastAsiaTheme="minorHAnsi" w:hAnsi="Lato" w:cs="Arial"/>
          <w:sz w:val="24"/>
          <w:szCs w:val="24"/>
        </w:rPr>
      </w:pPr>
      <w:r w:rsidRPr="00042656">
        <w:rPr>
          <w:rFonts w:ascii="Lato" w:eastAsiaTheme="minorHAnsi" w:hAnsi="Lato" w:cs="Arial"/>
          <w:sz w:val="24"/>
          <w:szCs w:val="24"/>
        </w:rPr>
        <w:t xml:space="preserve">Do you serve students 5 years old or younger that are </w:t>
      </w:r>
      <w:r w:rsidRPr="00042656">
        <w:rPr>
          <w:rFonts w:ascii="Lato" w:eastAsiaTheme="minorHAnsi" w:hAnsi="Lato" w:cs="Arial"/>
          <w:b/>
          <w:bCs/>
          <w:sz w:val="24"/>
          <w:szCs w:val="24"/>
        </w:rPr>
        <w:t xml:space="preserve">NOT </w:t>
      </w:r>
      <w:r w:rsidRPr="00042656">
        <w:rPr>
          <w:rFonts w:ascii="Lato" w:eastAsiaTheme="minorHAnsi" w:hAnsi="Lato" w:cs="Arial"/>
          <w:sz w:val="24"/>
          <w:szCs w:val="24"/>
        </w:rPr>
        <w:t>yet in kindergarten?</w:t>
      </w:r>
    </w:p>
    <w:p w:rsidR="00042656" w:rsidRPr="00042656" w:rsidRDefault="00042656" w:rsidP="00042656">
      <w:pPr>
        <w:pStyle w:val="Heading2"/>
        <w:rPr>
          <w:rFonts w:ascii="Lato" w:eastAsiaTheme="minorHAnsi" w:hAnsi="Lato" w:cs="Arial"/>
          <w:sz w:val="24"/>
          <w:szCs w:val="24"/>
        </w:rPr>
      </w:pPr>
      <w:r w:rsidRPr="00042656">
        <w:rPr>
          <w:rFonts w:ascii="Lato" w:eastAsiaTheme="minorHAnsi" w:hAnsi="Lato" w:cs="Arial"/>
          <w:sz w:val="24"/>
          <w:szCs w:val="24"/>
        </w:rPr>
        <w:t>If answer is No</w:t>
      </w:r>
    </w:p>
    <w:p w:rsidR="00042656" w:rsidRPr="00042656" w:rsidRDefault="00042656" w:rsidP="00042656">
      <w:pPr>
        <w:rPr>
          <w:rFonts w:ascii="Lato" w:eastAsiaTheme="minorHAnsi" w:hAnsi="Lato" w:cs="Arial"/>
          <w:color w:val="2E74B5" w:themeColor="accent1" w:themeShade="BF"/>
          <w:szCs w:val="26"/>
        </w:rPr>
      </w:pPr>
      <w:r w:rsidRPr="00042656">
        <w:rPr>
          <w:rFonts w:ascii="Lato" w:eastAsiaTheme="minorHAnsi" w:hAnsi="Lato" w:cs="Arial"/>
          <w:sz w:val="22"/>
        </w:rPr>
        <w:t xml:space="preserve">Follow the </w:t>
      </w:r>
      <w:hyperlink r:id="rId4" w:history="1">
        <w:r w:rsidRPr="00042656">
          <w:rPr>
            <w:rStyle w:val="Hyperlink"/>
            <w:rFonts w:ascii="Lato" w:eastAsiaTheme="minorHAnsi" w:hAnsi="Lato" w:cs="Arial"/>
            <w:sz w:val="22"/>
          </w:rPr>
          <w:t>NSLP Snack Meal Pattern</w:t>
        </w:r>
      </w:hyperlink>
      <w:r w:rsidRPr="00042656">
        <w:rPr>
          <w:rFonts w:ascii="Lato" w:eastAsiaTheme="minorHAnsi" w:hAnsi="Lato" w:cs="Arial"/>
          <w:sz w:val="22"/>
        </w:rPr>
        <w:t>.</w:t>
      </w:r>
    </w:p>
    <w:p w:rsidR="00042656" w:rsidRDefault="00042656" w:rsidP="00042656">
      <w:pPr>
        <w:rPr>
          <w:rFonts w:ascii="Lato" w:eastAsiaTheme="minorHAnsi" w:hAnsi="Lato" w:cs="Arial"/>
        </w:rPr>
      </w:pPr>
    </w:p>
    <w:p w:rsidR="00BC41E7" w:rsidRPr="00042656" w:rsidRDefault="00042656" w:rsidP="00D54216">
      <w:pPr>
        <w:pStyle w:val="Heading2"/>
        <w:rPr>
          <w:rFonts w:ascii="Lato" w:eastAsiaTheme="minorHAnsi" w:hAnsi="Lato" w:cs="Arial"/>
          <w:sz w:val="24"/>
        </w:rPr>
      </w:pPr>
      <w:r w:rsidRPr="00042656">
        <w:rPr>
          <w:rFonts w:ascii="Lato" w:eastAsiaTheme="minorHAnsi" w:hAnsi="Lato" w:cs="Arial"/>
          <w:sz w:val="24"/>
        </w:rPr>
        <w:t xml:space="preserve">If answer is </w:t>
      </w:r>
      <w:r w:rsidR="00BC41E7" w:rsidRPr="00042656">
        <w:rPr>
          <w:rFonts w:ascii="Lato" w:eastAsiaTheme="minorHAnsi" w:hAnsi="Lato" w:cs="Arial"/>
          <w:sz w:val="24"/>
        </w:rPr>
        <w:t>Yes</w:t>
      </w:r>
    </w:p>
    <w:p w:rsidR="00BC41E7" w:rsidRPr="00042656" w:rsidRDefault="00BC41E7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  <w:r w:rsidRPr="00042656">
        <w:rPr>
          <w:rFonts w:ascii="Lato" w:eastAsiaTheme="minorHAnsi" w:hAnsi="Lato" w:cs="Arial"/>
          <w:color w:val="222222"/>
          <w:sz w:val="22"/>
        </w:rPr>
        <w:t xml:space="preserve">Are these students served in the </w:t>
      </w:r>
      <w:r w:rsidRPr="00042656">
        <w:rPr>
          <w:rFonts w:ascii="Lato" w:eastAsiaTheme="minorHAnsi" w:hAnsi="Lato" w:cs="Arial"/>
          <w:b/>
          <w:bCs/>
          <w:color w:val="222222"/>
          <w:sz w:val="22"/>
        </w:rPr>
        <w:t xml:space="preserve">same service area </w:t>
      </w:r>
      <w:r w:rsidRPr="00042656">
        <w:rPr>
          <w:rFonts w:ascii="Lato" w:eastAsiaTheme="minorHAnsi" w:hAnsi="Lato" w:cs="Arial"/>
          <w:color w:val="222222"/>
          <w:sz w:val="22"/>
        </w:rPr>
        <w:t xml:space="preserve">and at the </w:t>
      </w:r>
      <w:r w:rsidRPr="00042656">
        <w:rPr>
          <w:rFonts w:ascii="Lato" w:eastAsiaTheme="minorHAnsi" w:hAnsi="Lato" w:cs="Arial"/>
          <w:b/>
          <w:bCs/>
          <w:color w:val="222222"/>
          <w:sz w:val="22"/>
        </w:rPr>
        <w:t xml:space="preserve">same time </w:t>
      </w:r>
      <w:r w:rsidRPr="00042656">
        <w:rPr>
          <w:rFonts w:ascii="Lato" w:eastAsiaTheme="minorHAnsi" w:hAnsi="Lato" w:cs="Arial"/>
          <w:color w:val="222222"/>
          <w:sz w:val="22"/>
        </w:rPr>
        <w:t>as students in grade K5 and older? If yes, t</w:t>
      </w:r>
      <w:r w:rsidR="00D54216" w:rsidRPr="00042656">
        <w:rPr>
          <w:rFonts w:ascii="Lato" w:eastAsiaTheme="minorHAnsi" w:hAnsi="Lato" w:cs="Arial"/>
          <w:color w:val="222222"/>
          <w:sz w:val="22"/>
        </w:rPr>
        <w:t xml:space="preserve">his </w:t>
      </w:r>
      <w:proofErr w:type="gramStart"/>
      <w:r w:rsidR="00D54216" w:rsidRPr="00042656">
        <w:rPr>
          <w:rFonts w:ascii="Lato" w:eastAsiaTheme="minorHAnsi" w:hAnsi="Lato" w:cs="Arial"/>
          <w:color w:val="222222"/>
          <w:sz w:val="22"/>
        </w:rPr>
        <w:t>is considered</w:t>
      </w:r>
      <w:proofErr w:type="gramEnd"/>
      <w:r w:rsidR="00D54216" w:rsidRPr="00042656">
        <w:rPr>
          <w:rFonts w:ascii="Lato" w:eastAsiaTheme="minorHAnsi" w:hAnsi="Lato" w:cs="Arial"/>
          <w:color w:val="222222"/>
          <w:sz w:val="22"/>
        </w:rPr>
        <w:t xml:space="preserve"> "commingling" and y</w:t>
      </w:r>
      <w:r w:rsidRPr="00042656">
        <w:rPr>
          <w:rFonts w:ascii="Lato" w:eastAsiaTheme="minorHAnsi" w:hAnsi="Lato" w:cs="Arial"/>
          <w:color w:val="222222"/>
          <w:sz w:val="22"/>
        </w:rPr>
        <w:t>ou may employ the following options for meal service</w:t>
      </w:r>
      <w:r w:rsidR="00D54216" w:rsidRPr="00042656">
        <w:rPr>
          <w:rFonts w:ascii="Lato" w:eastAsiaTheme="minorHAnsi" w:hAnsi="Lato" w:cs="Arial"/>
          <w:color w:val="222222"/>
          <w:sz w:val="22"/>
        </w:rPr>
        <w:t>:</w:t>
      </w:r>
    </w:p>
    <w:p w:rsidR="00D54216" w:rsidRPr="00042656" w:rsidRDefault="00D54216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</w:p>
    <w:p w:rsidR="00BC41E7" w:rsidRPr="00042656" w:rsidRDefault="00BC41E7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  <w:r w:rsidRPr="00042656">
        <w:rPr>
          <w:rFonts w:ascii="Lato" w:eastAsiaTheme="minorHAnsi" w:hAnsi="Lato" w:cs="Arial"/>
          <w:color w:val="222222"/>
          <w:sz w:val="22"/>
          <w:u w:val="single"/>
        </w:rPr>
        <w:t>Option A:</w:t>
      </w:r>
      <w:r w:rsidRPr="00042656">
        <w:rPr>
          <w:rFonts w:ascii="Lato" w:eastAsiaTheme="minorHAnsi" w:hAnsi="Lato" w:cs="Arial"/>
          <w:color w:val="222222"/>
          <w:sz w:val="22"/>
        </w:rPr>
        <w:t xml:space="preserve"> Follow the </w:t>
      </w:r>
      <w:hyperlink r:id="rId5" w:history="1">
        <w:r w:rsidRPr="00042656">
          <w:rPr>
            <w:rStyle w:val="Hyperlink"/>
            <w:rFonts w:ascii="Lato" w:eastAsiaTheme="minorHAnsi" w:hAnsi="Lato" w:cs="Arial"/>
            <w:sz w:val="22"/>
          </w:rPr>
          <w:t>NSLP Snack Meal Pattern</w:t>
        </w:r>
      </w:hyperlink>
      <w:r w:rsidRPr="00042656">
        <w:rPr>
          <w:rFonts w:ascii="Lato" w:eastAsiaTheme="minorHAnsi" w:hAnsi="Lato" w:cs="Arial"/>
          <w:color w:val="222222"/>
          <w:sz w:val="22"/>
        </w:rPr>
        <w:t xml:space="preserve"> for all students served.</w:t>
      </w:r>
    </w:p>
    <w:p w:rsidR="00042656" w:rsidRDefault="00042656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  <w:u w:val="single"/>
        </w:rPr>
      </w:pPr>
    </w:p>
    <w:p w:rsidR="00BC41E7" w:rsidRPr="00042656" w:rsidRDefault="00BC41E7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  <w:r w:rsidRPr="00042656">
        <w:rPr>
          <w:rFonts w:ascii="Lato" w:eastAsiaTheme="minorHAnsi" w:hAnsi="Lato" w:cs="Arial"/>
          <w:color w:val="222222"/>
          <w:sz w:val="22"/>
          <w:u w:val="single"/>
        </w:rPr>
        <w:t>Option B:</w:t>
      </w:r>
      <w:r w:rsidRPr="00042656">
        <w:rPr>
          <w:rFonts w:ascii="Lato" w:eastAsiaTheme="minorHAnsi" w:hAnsi="Lato" w:cs="Arial"/>
          <w:color w:val="222222"/>
          <w:sz w:val="22"/>
        </w:rPr>
        <w:t xml:space="preserve"> Follow the </w:t>
      </w:r>
      <w:hyperlink r:id="rId6" w:history="1">
        <w:r w:rsidRPr="00042656">
          <w:rPr>
            <w:rStyle w:val="Hyperlink"/>
            <w:rFonts w:ascii="Lato" w:eastAsiaTheme="minorHAnsi" w:hAnsi="Lato" w:cs="Arial"/>
            <w:sz w:val="22"/>
          </w:rPr>
          <w:t>CACFP Snack Meal Pattern</w:t>
        </w:r>
      </w:hyperlink>
      <w:r w:rsidRPr="00042656">
        <w:rPr>
          <w:rFonts w:ascii="Lato" w:eastAsiaTheme="minorHAnsi" w:hAnsi="Lato" w:cs="Arial"/>
          <w:color w:val="222222"/>
          <w:sz w:val="22"/>
        </w:rPr>
        <w:t xml:space="preserve"> for students age 5 years old or younger that are not yet in kindergarten</w:t>
      </w:r>
      <w:r w:rsidR="00D54216" w:rsidRPr="00042656">
        <w:rPr>
          <w:rFonts w:ascii="Lato" w:eastAsiaTheme="minorHAnsi" w:hAnsi="Lato" w:cs="Arial"/>
          <w:color w:val="222222"/>
          <w:sz w:val="22"/>
        </w:rPr>
        <w:t xml:space="preserve"> and follow the </w:t>
      </w:r>
      <w:hyperlink r:id="rId7" w:history="1">
        <w:r w:rsidR="00D54216" w:rsidRPr="00042656">
          <w:rPr>
            <w:rStyle w:val="Hyperlink"/>
            <w:rFonts w:ascii="Lato" w:eastAsiaTheme="minorHAnsi" w:hAnsi="Lato" w:cs="Arial"/>
            <w:sz w:val="22"/>
          </w:rPr>
          <w:t>NSLP Snack Meal Pattern</w:t>
        </w:r>
      </w:hyperlink>
      <w:r w:rsidR="00D54216" w:rsidRPr="00042656">
        <w:rPr>
          <w:rFonts w:ascii="Lato" w:eastAsiaTheme="minorHAnsi" w:hAnsi="Lato" w:cs="Arial"/>
          <w:color w:val="222222"/>
          <w:sz w:val="22"/>
        </w:rPr>
        <w:t xml:space="preserve"> for students 5K and older.</w:t>
      </w:r>
    </w:p>
    <w:p w:rsidR="00D54216" w:rsidRPr="00042656" w:rsidRDefault="00D54216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</w:p>
    <w:p w:rsidR="00D54216" w:rsidRPr="00042656" w:rsidRDefault="00D54216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  <w:r w:rsidRPr="00042656">
        <w:rPr>
          <w:rFonts w:ascii="Lato" w:eastAsiaTheme="minorHAnsi" w:hAnsi="Lato" w:cs="Arial"/>
          <w:color w:val="222222"/>
          <w:sz w:val="22"/>
        </w:rPr>
        <w:t xml:space="preserve">If students are </w:t>
      </w:r>
      <w:r w:rsidRPr="00042656">
        <w:rPr>
          <w:rFonts w:ascii="Lato" w:eastAsiaTheme="minorHAnsi" w:hAnsi="Lato" w:cs="Arial"/>
          <w:b/>
          <w:color w:val="222222"/>
          <w:sz w:val="22"/>
        </w:rPr>
        <w:t>not</w:t>
      </w:r>
      <w:r w:rsidRPr="00042656">
        <w:rPr>
          <w:rFonts w:ascii="Lato" w:eastAsiaTheme="minorHAnsi" w:hAnsi="Lato" w:cs="Arial"/>
          <w:color w:val="222222"/>
          <w:sz w:val="22"/>
        </w:rPr>
        <w:t xml:space="preserve"> considered comingled, then you must follow the </w:t>
      </w:r>
      <w:hyperlink r:id="rId8" w:history="1">
        <w:r w:rsidRPr="00042656">
          <w:rPr>
            <w:rStyle w:val="Hyperlink"/>
            <w:rFonts w:ascii="Lato" w:eastAsiaTheme="minorHAnsi" w:hAnsi="Lato" w:cs="Arial"/>
            <w:sz w:val="22"/>
          </w:rPr>
          <w:t>CACFP Snack Meal Pattern</w:t>
        </w:r>
      </w:hyperlink>
      <w:r w:rsidRPr="00042656">
        <w:rPr>
          <w:rFonts w:ascii="Lato" w:eastAsiaTheme="minorHAnsi" w:hAnsi="Lato" w:cs="Arial"/>
          <w:color w:val="222222"/>
          <w:sz w:val="22"/>
        </w:rPr>
        <w:t xml:space="preserve"> for 4K and younger students only.</w:t>
      </w:r>
    </w:p>
    <w:p w:rsidR="00D54216" w:rsidRPr="00042656" w:rsidRDefault="00D54216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</w:p>
    <w:p w:rsidR="00D54216" w:rsidRPr="00042656" w:rsidRDefault="00D54216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  <w:r w:rsidRPr="00042656">
        <w:rPr>
          <w:rFonts w:ascii="Lato" w:eastAsiaTheme="minorHAnsi" w:hAnsi="Lato" w:cs="Arial"/>
          <w:color w:val="222222"/>
          <w:sz w:val="22"/>
        </w:rPr>
        <w:t>Commingling examples:</w:t>
      </w:r>
    </w:p>
    <w:p w:rsidR="00D54216" w:rsidRPr="00042656" w:rsidRDefault="00D54216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  <w:r w:rsidRPr="00042656">
        <w:rPr>
          <w:rFonts w:ascii="Lato" w:eastAsiaTheme="minorHAnsi" w:hAnsi="Lato" w:cs="Arial"/>
          <w:color w:val="222222"/>
          <w:sz w:val="22"/>
          <w:u w:val="single"/>
        </w:rPr>
        <w:t>Example A:</w:t>
      </w:r>
      <w:r w:rsidRPr="00042656">
        <w:rPr>
          <w:rFonts w:ascii="Lato" w:eastAsiaTheme="minorHAnsi" w:hAnsi="Lato" w:cs="Arial"/>
          <w:color w:val="222222"/>
          <w:sz w:val="22"/>
        </w:rPr>
        <w:t xml:space="preserve"> 4K students </w:t>
      </w:r>
      <w:proofErr w:type="gramStart"/>
      <w:r w:rsidRPr="00042656">
        <w:rPr>
          <w:rFonts w:ascii="Lato" w:eastAsiaTheme="minorHAnsi" w:hAnsi="Lato" w:cs="Arial"/>
          <w:color w:val="222222"/>
          <w:sz w:val="22"/>
        </w:rPr>
        <w:t>are served</w:t>
      </w:r>
      <w:proofErr w:type="gramEnd"/>
      <w:r w:rsidRPr="00042656">
        <w:rPr>
          <w:rFonts w:ascii="Lato" w:eastAsiaTheme="minorHAnsi" w:hAnsi="Lato" w:cs="Arial"/>
          <w:color w:val="222222"/>
          <w:sz w:val="22"/>
        </w:rPr>
        <w:t xml:space="preserve"> and eat their afterschool snacks in a different location than the older students.</w:t>
      </w:r>
    </w:p>
    <w:p w:rsidR="00042656" w:rsidRPr="00042656" w:rsidRDefault="00042656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  <w:u w:val="single"/>
        </w:rPr>
      </w:pPr>
    </w:p>
    <w:p w:rsidR="00D54216" w:rsidRPr="00042656" w:rsidRDefault="00D54216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  <w:sz w:val="22"/>
        </w:rPr>
      </w:pPr>
      <w:r w:rsidRPr="00042656">
        <w:rPr>
          <w:rFonts w:ascii="Lato" w:eastAsiaTheme="minorHAnsi" w:hAnsi="Lato" w:cs="Arial"/>
          <w:color w:val="222222"/>
          <w:sz w:val="22"/>
          <w:u w:val="single"/>
        </w:rPr>
        <w:t>Example B:</w:t>
      </w:r>
      <w:r w:rsidRPr="00042656">
        <w:rPr>
          <w:rFonts w:ascii="Lato" w:eastAsiaTheme="minorHAnsi" w:hAnsi="Lato" w:cs="Arial"/>
          <w:color w:val="222222"/>
          <w:sz w:val="22"/>
        </w:rPr>
        <w:t xml:space="preserve"> 4K students </w:t>
      </w:r>
      <w:proofErr w:type="gramStart"/>
      <w:r w:rsidRPr="00042656">
        <w:rPr>
          <w:rFonts w:ascii="Lato" w:eastAsiaTheme="minorHAnsi" w:hAnsi="Lato" w:cs="Arial"/>
          <w:color w:val="222222"/>
          <w:sz w:val="22"/>
        </w:rPr>
        <w:t>are served</w:t>
      </w:r>
      <w:proofErr w:type="gramEnd"/>
      <w:r w:rsidRPr="00042656">
        <w:rPr>
          <w:rFonts w:ascii="Lato" w:eastAsiaTheme="minorHAnsi" w:hAnsi="Lato" w:cs="Arial"/>
          <w:color w:val="222222"/>
          <w:sz w:val="22"/>
        </w:rPr>
        <w:t xml:space="preserve"> in the same location as the older students but at different times.</w:t>
      </w:r>
    </w:p>
    <w:p w:rsidR="00BC41E7" w:rsidRPr="00042656" w:rsidRDefault="00BC41E7" w:rsidP="00BC41E7">
      <w:pPr>
        <w:autoSpaceDE w:val="0"/>
        <w:autoSpaceDN w:val="0"/>
        <w:adjustRightInd w:val="0"/>
        <w:rPr>
          <w:rFonts w:ascii="Lato" w:eastAsiaTheme="minorHAnsi" w:hAnsi="Lato" w:cs="Arial"/>
          <w:color w:val="222222"/>
        </w:rPr>
      </w:pPr>
    </w:p>
    <w:sectPr w:rsidR="00BC41E7" w:rsidRPr="0004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E7"/>
    <w:rsid w:val="00042656"/>
    <w:rsid w:val="000D7A9A"/>
    <w:rsid w:val="002362BA"/>
    <w:rsid w:val="00BC41E7"/>
    <w:rsid w:val="00D5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8E771-03A2-455A-A8C8-293C58C1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4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4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41E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school-nutrition/pdf/afterschool-snacks-meal-patter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pi.wi.gov/sites/default/files/imce/school-nutrition/pdf/nslp-meal-pattern-for-as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i.wi.gov/sites/default/files/imce/school-nutrition/pdf/afterschool-snacks-meal-pattern.pdf" TargetMode="External"/><Relationship Id="rId5" Type="http://schemas.openxmlformats.org/officeDocument/2006/relationships/hyperlink" Target="https://dpi.wi.gov/sites/default/files/imce/school-nutrition/pdf/nslp-meal-pattern-for-asp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pi.wi.gov/sites/default/files/imce/school-nutrition/pdf/nslp-meal-pattern-for-asp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Afterschool Snack Meal Pattern Decision Flowchart</vt:lpstr>
    </vt:vector>
  </TitlesOfParts>
  <Company>Department of Public Instruction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Afterschool Snack Meal Pattern Decision Flowchart</dc:title>
  <dc:subject/>
  <dc:creator>Snider, Hannah R.   DPI</dc:creator>
  <cp:keywords/>
  <dc:description/>
  <cp:lastModifiedBy>McLeod, Ansley M.   DPI</cp:lastModifiedBy>
  <cp:revision>2</cp:revision>
  <dcterms:created xsi:type="dcterms:W3CDTF">2019-01-29T20:55:00Z</dcterms:created>
  <dcterms:modified xsi:type="dcterms:W3CDTF">2019-01-29T20:55:00Z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1263642191</vt:i4>
  </property>
  <property fmtid="{D5CDD505-2E9C-101B-9397-08002B2CF9AE}" pid="3" name="_NewReviewCycle">
    <vt:lpwstr/>
  </property>
  <property fmtid="{D5CDD505-2E9C-101B-9397-08002B2CF9AE}" pid="4" name="_EmailSubject">
    <vt:lpwstr>Afterschool Snack flowchart - web accessibility</vt:lpwstr>
  </property>
  <property fmtid="{D5CDD505-2E9C-101B-9397-08002B2CF9AE}" pid="5" name="_AuthorEmail">
    <vt:lpwstr>dpisntwa@dpi.wi.gov</vt:lpwstr>
  </property>
  <property fmtid="{D5CDD505-2E9C-101B-9397-08002B2CF9AE}" pid="6" name="_AuthorEmailDisplayName">
    <vt:lpwstr>DPI SNT WA</vt:lpwstr>
  </property>
  <property fmtid="{D5CDD505-2E9C-101B-9397-08002B2CF9AE}" pid="7" name="_ReviewingToolsShownOnce">
    <vt:lpwstr/>
  </property>
</Properties>
</file>