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246A" w14:textId="5D1399B4" w:rsidR="009F1ACE" w:rsidRPr="005B71EF" w:rsidRDefault="32E7FBE7" w:rsidP="005B71EF">
      <w:pPr>
        <w:pStyle w:val="Heading1"/>
        <w:rPr>
          <w:rFonts w:ascii="Lato" w:hAnsi="Lato"/>
          <w:color w:val="auto"/>
          <w:sz w:val="28"/>
          <w:szCs w:val="28"/>
        </w:rPr>
      </w:pPr>
      <w:r w:rsidRPr="005B71EF">
        <w:rPr>
          <w:rFonts w:ascii="Lato" w:eastAsia="Lato" w:hAnsi="Lato"/>
          <w:color w:val="auto"/>
          <w:sz w:val="28"/>
          <w:szCs w:val="28"/>
        </w:rPr>
        <w:t>Sample Policy:</w:t>
      </w:r>
    </w:p>
    <w:p w14:paraId="3A8854CD" w14:textId="6E86B2B3" w:rsidR="009F1ACE" w:rsidRPr="00F10540" w:rsidRDefault="32E7FBE7">
      <w:pPr>
        <w:rPr>
          <w:rFonts w:ascii="Lato" w:hAnsi="Lato"/>
        </w:rPr>
      </w:pPr>
      <w:r w:rsidRPr="00F10540">
        <w:rPr>
          <w:rFonts w:ascii="Lato" w:eastAsia="Lato" w:hAnsi="Lato" w:cs="Lato"/>
        </w:rPr>
        <w:t>U.S. Department of Agriculture (USDA) regulations 7 CFR Part 15b require milk substitutions or modifications for children whose disabilities restrict their diets. School food authorities must provide modifications for children with disabilities on a case-by-case basis when requests are supported by a written statement from a state licensed medical practitioner.</w:t>
      </w:r>
    </w:p>
    <w:p w14:paraId="424ACAFB" w14:textId="68C8531B" w:rsidR="009F1ACE" w:rsidRPr="00F10540" w:rsidRDefault="32E7FBE7">
      <w:pPr>
        <w:rPr>
          <w:rFonts w:ascii="Lato" w:hAnsi="Lato"/>
        </w:rPr>
      </w:pPr>
      <w:r w:rsidRPr="00F10540">
        <w:rPr>
          <w:rFonts w:ascii="Lato" w:eastAsia="Lato" w:hAnsi="Lato" w:cs="Lato"/>
        </w:rPr>
        <w:t>The licensed medical practitioner’s statement must identify:</w:t>
      </w:r>
    </w:p>
    <w:p w14:paraId="3D37A955" w14:textId="35A3FA62" w:rsidR="009F1ACE" w:rsidRPr="00F10540" w:rsidRDefault="32E7FBE7">
      <w:pPr>
        <w:rPr>
          <w:rFonts w:ascii="Lato" w:hAnsi="Lato"/>
        </w:rPr>
      </w:pPr>
      <w:r w:rsidRPr="00F10540">
        <w:rPr>
          <w:rFonts w:ascii="Lato" w:eastAsia="Lato" w:hAnsi="Lato" w:cs="Lato"/>
        </w:rPr>
        <w:t xml:space="preserve">• An explanation of how the child’s physical or mental impairment restricts the child's </w:t>
      </w:r>
      <w:proofErr w:type="gramStart"/>
      <w:r w:rsidRPr="00F10540">
        <w:rPr>
          <w:rFonts w:ascii="Lato" w:eastAsia="Lato" w:hAnsi="Lato" w:cs="Lato"/>
        </w:rPr>
        <w:t>diet;</w:t>
      </w:r>
      <w:proofErr w:type="gramEnd"/>
    </w:p>
    <w:p w14:paraId="0329B2A6" w14:textId="18E6C059" w:rsidR="009F1ACE" w:rsidRPr="00F10540" w:rsidRDefault="32E7FBE7">
      <w:pPr>
        <w:rPr>
          <w:rFonts w:ascii="Lato" w:hAnsi="Lato"/>
        </w:rPr>
      </w:pPr>
      <w:r w:rsidRPr="00F10540">
        <w:rPr>
          <w:rFonts w:ascii="Lato" w:eastAsia="Lato" w:hAnsi="Lato" w:cs="Lato"/>
        </w:rPr>
        <w:t>• The food(s) to be avoided; and</w:t>
      </w:r>
    </w:p>
    <w:p w14:paraId="1BE1CB33" w14:textId="6AC6E221" w:rsidR="009F1ACE" w:rsidRPr="00F10540" w:rsidRDefault="32E7FBE7">
      <w:pPr>
        <w:rPr>
          <w:rFonts w:ascii="Lato" w:eastAsia="Lato" w:hAnsi="Lato" w:cs="Lato"/>
        </w:rPr>
      </w:pPr>
      <w:r w:rsidRPr="00F10540">
        <w:rPr>
          <w:rFonts w:ascii="Lato" w:eastAsia="Lato" w:hAnsi="Lato" w:cs="Lato"/>
        </w:rPr>
        <w:t>• The food or choice of foods that must be substituted.</w:t>
      </w:r>
    </w:p>
    <w:p w14:paraId="6ADDF9E8" w14:textId="379C2DA6" w:rsidR="00FD4EE3" w:rsidRPr="00F10540" w:rsidRDefault="00FD4EE3">
      <w:pPr>
        <w:rPr>
          <w:rFonts w:ascii="Lato" w:hAnsi="Lato"/>
        </w:rPr>
      </w:pPr>
      <w:r w:rsidRPr="00F10540">
        <w:rPr>
          <w:rStyle w:val="cf01"/>
          <w:rFonts w:ascii="Lato" w:hAnsi="Lato"/>
          <w:i w:val="0"/>
          <w:iCs w:val="0"/>
          <w:sz w:val="22"/>
          <w:szCs w:val="22"/>
        </w:rPr>
        <w:t>If a student’s IEP or 504 plan contains the same information that is required on a Medical Statement for Special Dietary Needs, then it is not necessary to obtain a separate Medical Statement for Special Dietary Needs.</w:t>
      </w:r>
    </w:p>
    <w:p w14:paraId="207030B6" w14:textId="5DFFDAC5" w:rsidR="4AA55B0F" w:rsidRPr="00F10540" w:rsidRDefault="32E7FBE7" w:rsidP="4AA55B0F">
      <w:pPr>
        <w:rPr>
          <w:rFonts w:ascii="Lato" w:eastAsia="Times New Roman" w:hAnsi="Lato" w:cs="Times New Roman"/>
        </w:rPr>
      </w:pPr>
      <w:r w:rsidRPr="00F10540">
        <w:rPr>
          <w:rFonts w:ascii="Lato" w:eastAsia="Lato" w:hAnsi="Lato" w:cs="Lato"/>
        </w:rPr>
        <w:t>*</w:t>
      </w:r>
      <w:r w:rsidRPr="00F10540">
        <w:rPr>
          <w:rFonts w:ascii="Lato" w:eastAsia="Lato" w:hAnsi="Lato" w:cs="Lato"/>
          <w:i/>
          <w:iCs/>
        </w:rPr>
        <w:t>Medical Statement for Special Dietary Needs Form is available at registration and upon request from the school office.</w:t>
      </w:r>
    </w:p>
    <w:p w14:paraId="116A2B8E" w14:textId="6C1EE3DE" w:rsidR="206D7203" w:rsidRPr="00F10540" w:rsidRDefault="206D7203">
      <w:pPr>
        <w:rPr>
          <w:rFonts w:ascii="Lato" w:eastAsia="Lato" w:hAnsi="Lato" w:cs="Lato"/>
          <w:color w:val="000000" w:themeColor="text1"/>
        </w:rPr>
      </w:pPr>
      <w:r w:rsidRPr="00F10540">
        <w:rPr>
          <w:rFonts w:ascii="Lato" w:eastAsia="Lato" w:hAnsi="Lato" w:cs="Lato"/>
          <w:color w:val="000000" w:themeColor="text1"/>
        </w:rPr>
        <w:t>When a request for a special dietary accommodation is not supported by an authorized Medical Statement for Special Dietary Needs or included in a student’s IEP or 504 plan, the school district cannot provide</w:t>
      </w:r>
      <w:r w:rsidR="00864C89" w:rsidRPr="00F10540">
        <w:rPr>
          <w:rFonts w:ascii="Lato" w:eastAsia="Lato" w:hAnsi="Lato" w:cs="Lato"/>
          <w:color w:val="000000" w:themeColor="text1"/>
        </w:rPr>
        <w:t xml:space="preserve"> substitutions</w:t>
      </w:r>
      <w:r w:rsidRPr="00F10540">
        <w:rPr>
          <w:rFonts w:ascii="Lato" w:eastAsia="Lato" w:hAnsi="Lato" w:cs="Lato"/>
          <w:color w:val="000000" w:themeColor="text1"/>
        </w:rPr>
        <w:t xml:space="preserve"> that are not in compliance with USDA Child Nutrition Program requirements.</w:t>
      </w:r>
    </w:p>
    <w:p w14:paraId="55E06BF1" w14:textId="252B2992" w:rsidR="206D7203" w:rsidRPr="00F10540" w:rsidRDefault="206D7203">
      <w:pPr>
        <w:rPr>
          <w:rFonts w:ascii="Lato" w:hAnsi="Lato"/>
        </w:rPr>
      </w:pPr>
      <w:r w:rsidRPr="00F10540">
        <w:rPr>
          <w:rFonts w:ascii="Lato" w:eastAsia="Lato" w:hAnsi="Lato" w:cs="Lato"/>
          <w:b/>
          <w:bCs/>
        </w:rPr>
        <w:t>Fluid Milk Substitution</w:t>
      </w:r>
      <w:r w:rsidRPr="00F10540">
        <w:rPr>
          <w:rFonts w:ascii="Lato" w:eastAsia="Lato" w:hAnsi="Lato" w:cs="Lato"/>
          <w:color w:val="000000" w:themeColor="text1"/>
        </w:rPr>
        <w:t xml:space="preserve"> </w:t>
      </w:r>
      <w:r w:rsidRPr="00F10540">
        <w:rPr>
          <w:rFonts w:ascii="Lato" w:eastAsia="Lato" w:hAnsi="Lato" w:cs="Lato"/>
          <w:b/>
          <w:bCs/>
          <w:color w:val="000000" w:themeColor="text1"/>
          <w:highlight w:val="yellow"/>
        </w:rPr>
        <w:t>[Choose One]</w:t>
      </w:r>
    </w:p>
    <w:p w14:paraId="019F3EB4" w14:textId="4862A09D" w:rsidR="206D7203" w:rsidRPr="00F10540" w:rsidRDefault="206D7203" w:rsidP="4AA55B0F">
      <w:pPr>
        <w:pStyle w:val="ListParagraph"/>
        <w:numPr>
          <w:ilvl w:val="0"/>
          <w:numId w:val="2"/>
        </w:numPr>
        <w:spacing w:line="257" w:lineRule="auto"/>
        <w:rPr>
          <w:rFonts w:ascii="Lato" w:eastAsia="Lato" w:hAnsi="Lato" w:cs="Lato"/>
          <w:color w:val="000000" w:themeColor="text1"/>
        </w:rPr>
      </w:pPr>
      <w:r w:rsidRPr="00F10540">
        <w:rPr>
          <w:rFonts w:ascii="Lato" w:eastAsia="Lato" w:hAnsi="Lato" w:cs="Lato"/>
          <w:color w:val="000000" w:themeColor="text1"/>
        </w:rPr>
        <w:t xml:space="preserve">The school district shall have no legal obligation to accommodate a student’s or a parent's/guardian’s preference for a fluid milk substitute if there is no Medical Statement for Special Dietary Needs on file. </w:t>
      </w:r>
    </w:p>
    <w:p w14:paraId="249AA462" w14:textId="708A1310" w:rsidR="206D7203" w:rsidRPr="00F10540" w:rsidRDefault="206D7203" w:rsidP="4AA55B0F">
      <w:pPr>
        <w:pStyle w:val="ListParagraph"/>
        <w:numPr>
          <w:ilvl w:val="0"/>
          <w:numId w:val="2"/>
        </w:numPr>
        <w:spacing w:line="257" w:lineRule="auto"/>
        <w:rPr>
          <w:rFonts w:ascii="Lato" w:eastAsia="Lato" w:hAnsi="Lato" w:cs="Lato"/>
          <w:color w:val="000000" w:themeColor="text1"/>
        </w:rPr>
      </w:pPr>
      <w:r w:rsidRPr="00F10540">
        <w:rPr>
          <w:rFonts w:ascii="Lato" w:eastAsia="Lato" w:hAnsi="Lato" w:cs="Lato"/>
          <w:color w:val="000000" w:themeColor="text1"/>
        </w:rPr>
        <w:t xml:space="preserve">The school district shall offer a federally approved milk substitute </w:t>
      </w:r>
      <w:r w:rsidRPr="00F10540">
        <w:rPr>
          <w:rFonts w:ascii="Lato" w:eastAsia="Lato" w:hAnsi="Lato" w:cs="Lato"/>
        </w:rPr>
        <w:t>with a written and signed request from a parent or guardian</w:t>
      </w:r>
      <w:r w:rsidRPr="00F10540">
        <w:rPr>
          <w:rFonts w:ascii="Lato" w:eastAsia="Lato" w:hAnsi="Lato" w:cs="Lato"/>
          <w:color w:val="000000" w:themeColor="text1"/>
        </w:rPr>
        <w:t xml:space="preserve"> that identifies the reason for the special dietary accommodation.</w:t>
      </w:r>
    </w:p>
    <w:p w14:paraId="5344F839" w14:textId="10B4D6EF" w:rsidR="4AA55B0F" w:rsidRDefault="4AA55B0F" w:rsidP="4AA55B0F">
      <w:pPr>
        <w:rPr>
          <w:rFonts w:ascii="Lato" w:eastAsia="Lato" w:hAnsi="Lato" w:cs="Lato"/>
          <w:i/>
          <w:iCs/>
          <w:sz w:val="24"/>
          <w:szCs w:val="24"/>
        </w:rPr>
      </w:pPr>
    </w:p>
    <w:p w14:paraId="1722BEE5" w14:textId="3371D91C" w:rsidR="003B4105" w:rsidRDefault="003B4105">
      <w:pPr>
        <w:rPr>
          <w:rFonts w:ascii="Lato" w:eastAsia="Lato" w:hAnsi="Lato" w:cs="Lato"/>
          <w:i/>
          <w:iCs/>
          <w:sz w:val="24"/>
          <w:szCs w:val="24"/>
        </w:rPr>
      </w:pPr>
      <w:r>
        <w:rPr>
          <w:rFonts w:ascii="Lato" w:eastAsia="Lato" w:hAnsi="Lato" w:cs="Lato"/>
          <w:i/>
          <w:iCs/>
          <w:sz w:val="24"/>
          <w:szCs w:val="24"/>
        </w:rPr>
        <w:br w:type="page"/>
      </w:r>
    </w:p>
    <w:p w14:paraId="51AA6CBD" w14:textId="2A5D7837" w:rsidR="003B4105" w:rsidRDefault="003B4105" w:rsidP="003B4105">
      <w:pPr>
        <w:pStyle w:val="Default"/>
        <w:jc w:val="center"/>
        <w:rPr>
          <w:rFonts w:ascii="Lato" w:hAnsi="Lato"/>
          <w:b/>
          <w:bCs/>
          <w:sz w:val="22"/>
          <w:szCs w:val="22"/>
        </w:rPr>
      </w:pPr>
      <w:r>
        <w:rPr>
          <w:rFonts w:ascii="Lato" w:hAnsi="Lato"/>
          <w:b/>
          <w:bCs/>
          <w:sz w:val="22"/>
          <w:szCs w:val="22"/>
        </w:rPr>
        <w:lastRenderedPageBreak/>
        <w:t>USDA Nondiscrimination Statement</w:t>
      </w:r>
    </w:p>
    <w:p w14:paraId="121A5F5C" w14:textId="77777777" w:rsidR="003B4105" w:rsidRPr="007E7CD2" w:rsidRDefault="003B4105" w:rsidP="003B4105">
      <w:pPr>
        <w:shd w:val="clear" w:color="auto" w:fill="FFFFFF"/>
        <w:spacing w:before="100" w:beforeAutospacing="1" w:after="100" w:afterAutospacing="1" w:line="240" w:lineRule="auto"/>
        <w:rPr>
          <w:rFonts w:ascii="Lato" w:eastAsia="Times New Roman" w:hAnsi="Lato" w:cs="Helvetica"/>
          <w:color w:val="1B1B1B"/>
        </w:rPr>
      </w:pPr>
      <w:r w:rsidRPr="007E7CD2">
        <w:rPr>
          <w:rFonts w:ascii="Lato" w:eastAsia="Times New Roman" w:hAnsi="Lato" w:cs="Helvetica"/>
          <w:color w:val="1B1B1B"/>
        </w:rPr>
        <w:t xml:space="preserve">In accordance with federal civil rights law and U.S. Department of Agriculture (USDA) civil rights regulations and policies, this institution is prohibited from discriminating </w:t>
      </w:r>
      <w:proofErr w:type="gramStart"/>
      <w:r w:rsidRPr="007E7CD2">
        <w:rPr>
          <w:rFonts w:ascii="Lato" w:eastAsia="Times New Roman" w:hAnsi="Lato" w:cs="Helvetica"/>
          <w:color w:val="1B1B1B"/>
        </w:rPr>
        <w:t>on the basis of</w:t>
      </w:r>
      <w:proofErr w:type="gramEnd"/>
      <w:r w:rsidRPr="007E7CD2">
        <w:rPr>
          <w:rFonts w:ascii="Lato" w:eastAsia="Times New Roman" w:hAnsi="Lato" w:cs="Helvetica"/>
          <w:color w:val="1B1B1B"/>
        </w:rPr>
        <w:t xml:space="preserve"> race, color, national origin, sex (including gender identity and sexual orientation), disability, age, or reprisal or retaliation for prior civil rights activity.</w:t>
      </w:r>
    </w:p>
    <w:p w14:paraId="18C917F4" w14:textId="77777777" w:rsidR="003B4105" w:rsidRPr="007E7CD2" w:rsidRDefault="003B4105" w:rsidP="003B4105">
      <w:pPr>
        <w:shd w:val="clear" w:color="auto" w:fill="FFFFFF"/>
        <w:spacing w:before="100" w:beforeAutospacing="1" w:after="100" w:afterAutospacing="1" w:line="240" w:lineRule="auto"/>
        <w:rPr>
          <w:rFonts w:ascii="Lato" w:eastAsia="Times New Roman" w:hAnsi="Lato" w:cs="Helvetica"/>
          <w:color w:val="1B1B1B"/>
        </w:rPr>
      </w:pPr>
      <w:r w:rsidRPr="007E7CD2">
        <w:rPr>
          <w:rFonts w:ascii="Lato" w:eastAsia="Times New Roman" w:hAnsi="Lato"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5A8A2B6" w14:textId="77777777" w:rsidR="003B4105" w:rsidRPr="007E7CD2" w:rsidRDefault="003B4105" w:rsidP="003B4105">
      <w:pPr>
        <w:shd w:val="clear" w:color="auto" w:fill="FFFFFF"/>
        <w:spacing w:before="100" w:beforeAutospacing="1" w:after="100" w:afterAutospacing="1" w:line="240" w:lineRule="auto"/>
        <w:rPr>
          <w:rFonts w:ascii="Lato" w:eastAsia="Times New Roman" w:hAnsi="Lato" w:cs="Helvetica"/>
          <w:color w:val="1B1B1B"/>
        </w:rPr>
      </w:pPr>
      <w:r w:rsidRPr="007E7CD2">
        <w:rPr>
          <w:rFonts w:ascii="Lato" w:eastAsia="Times New Roman" w:hAnsi="Lato" w:cs="Helvetica"/>
          <w:color w:val="1B1B1B"/>
        </w:rPr>
        <w:t>To file a program discrimination complaint, a Complainant should complete a Form AD-3027, USDA Program Discrimination Complaint Form which can be obtained online at: </w:t>
      </w:r>
      <w:hyperlink r:id="rId5" w:tgtFrame="_blank" w:history="1">
        <w:r w:rsidRPr="007E7CD2">
          <w:rPr>
            <w:rFonts w:ascii="Lato" w:eastAsia="Times New Roman" w:hAnsi="Lato" w:cs="Helvetica"/>
            <w:color w:val="2E8540"/>
            <w:u w:val="single"/>
          </w:rPr>
          <w:t>https://www.usda.gov/sites/default/files/documents/ad-3027.pdf</w:t>
        </w:r>
      </w:hyperlink>
      <w:r w:rsidRPr="007E7CD2">
        <w:rPr>
          <w:rFonts w:ascii="Lato" w:eastAsia="Times New Roman" w:hAnsi="Lato"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1770D5C" w14:textId="77777777" w:rsidR="003B4105" w:rsidRPr="007E7CD2" w:rsidRDefault="003B4105" w:rsidP="003B4105">
      <w:pPr>
        <w:numPr>
          <w:ilvl w:val="0"/>
          <w:numId w:val="3"/>
        </w:numPr>
        <w:shd w:val="clear" w:color="auto" w:fill="FFFFFF"/>
        <w:spacing w:before="100" w:beforeAutospacing="1" w:after="100" w:afterAutospacing="1" w:line="240" w:lineRule="auto"/>
        <w:rPr>
          <w:rFonts w:ascii="Lato" w:eastAsia="Times New Roman" w:hAnsi="Lato" w:cs="Helvetica"/>
          <w:color w:val="1B1B1B"/>
        </w:rPr>
      </w:pPr>
      <w:r w:rsidRPr="007E7CD2">
        <w:rPr>
          <w:rFonts w:ascii="Lato" w:eastAsia="Times New Roman" w:hAnsi="Lato" w:cs="Helvetica"/>
          <w:b/>
          <w:bCs/>
          <w:color w:val="1B1B1B"/>
        </w:rPr>
        <w:t>mail:</w:t>
      </w:r>
      <w:r w:rsidRPr="007E7CD2">
        <w:rPr>
          <w:rFonts w:ascii="Lato" w:eastAsia="Times New Roman" w:hAnsi="Lato" w:cs="Helvetica"/>
          <w:color w:val="1B1B1B"/>
        </w:rPr>
        <w:br/>
        <w:t>U.S. Department of Agriculture</w:t>
      </w:r>
      <w:r w:rsidRPr="007E7CD2">
        <w:rPr>
          <w:rFonts w:ascii="Lato" w:eastAsia="Times New Roman" w:hAnsi="Lato" w:cs="Helvetica"/>
          <w:color w:val="1B1B1B"/>
        </w:rPr>
        <w:br/>
        <w:t>Office of the Assistant Secretary for Civil Rights</w:t>
      </w:r>
      <w:r w:rsidRPr="007E7CD2">
        <w:rPr>
          <w:rFonts w:ascii="Lato" w:eastAsia="Times New Roman" w:hAnsi="Lato" w:cs="Helvetica"/>
          <w:color w:val="1B1B1B"/>
        </w:rPr>
        <w:br/>
        <w:t>1400 Independence Avenue, SW</w:t>
      </w:r>
      <w:r w:rsidRPr="007E7CD2">
        <w:rPr>
          <w:rFonts w:ascii="Lato" w:eastAsia="Times New Roman" w:hAnsi="Lato" w:cs="Helvetica"/>
          <w:color w:val="1B1B1B"/>
        </w:rPr>
        <w:br/>
        <w:t>Washington, D.C. 20250-9410; or</w:t>
      </w:r>
    </w:p>
    <w:p w14:paraId="2F487C55" w14:textId="77777777" w:rsidR="003B4105" w:rsidRPr="007E7CD2" w:rsidRDefault="003B4105" w:rsidP="003B4105">
      <w:pPr>
        <w:numPr>
          <w:ilvl w:val="0"/>
          <w:numId w:val="3"/>
        </w:numPr>
        <w:shd w:val="clear" w:color="auto" w:fill="FFFFFF"/>
        <w:spacing w:before="100" w:beforeAutospacing="1" w:after="100" w:afterAutospacing="1" w:line="240" w:lineRule="auto"/>
        <w:rPr>
          <w:rFonts w:ascii="Lato" w:eastAsia="Times New Roman" w:hAnsi="Lato" w:cs="Helvetica"/>
          <w:color w:val="1B1B1B"/>
        </w:rPr>
      </w:pPr>
      <w:r w:rsidRPr="007E7CD2">
        <w:rPr>
          <w:rFonts w:ascii="Lato" w:eastAsia="Times New Roman" w:hAnsi="Lato" w:cs="Helvetica"/>
          <w:b/>
          <w:bCs/>
          <w:color w:val="1B1B1B"/>
        </w:rPr>
        <w:t>fax:</w:t>
      </w:r>
      <w:r w:rsidRPr="007E7CD2">
        <w:rPr>
          <w:rFonts w:ascii="Lato" w:eastAsia="Times New Roman" w:hAnsi="Lato" w:cs="Helvetica"/>
          <w:color w:val="1B1B1B"/>
        </w:rPr>
        <w:br/>
        <w:t>(833) 256-1665 or (202) 690-7442; or</w:t>
      </w:r>
    </w:p>
    <w:p w14:paraId="0AD690AA" w14:textId="77777777" w:rsidR="003B4105" w:rsidRPr="007E7CD2" w:rsidRDefault="003B4105" w:rsidP="003B4105">
      <w:pPr>
        <w:numPr>
          <w:ilvl w:val="0"/>
          <w:numId w:val="3"/>
        </w:numPr>
        <w:shd w:val="clear" w:color="auto" w:fill="FFFFFF"/>
        <w:spacing w:before="100" w:beforeAutospacing="1" w:after="100" w:afterAutospacing="1" w:line="240" w:lineRule="auto"/>
        <w:rPr>
          <w:rFonts w:ascii="Lato" w:eastAsia="Times New Roman" w:hAnsi="Lato" w:cs="Helvetica"/>
          <w:color w:val="1B1B1B"/>
        </w:rPr>
      </w:pPr>
      <w:r w:rsidRPr="007E7CD2">
        <w:rPr>
          <w:rFonts w:ascii="Lato" w:eastAsia="Times New Roman" w:hAnsi="Lato" w:cs="Helvetica"/>
          <w:b/>
          <w:bCs/>
          <w:color w:val="1B1B1B"/>
        </w:rPr>
        <w:t>email:</w:t>
      </w:r>
      <w:r w:rsidRPr="007E7CD2">
        <w:rPr>
          <w:rFonts w:ascii="Lato" w:eastAsia="Times New Roman" w:hAnsi="Lato" w:cs="Helvetica"/>
          <w:color w:val="1B1B1B"/>
        </w:rPr>
        <w:br/>
      </w:r>
      <w:hyperlink r:id="rId6" w:history="1">
        <w:r w:rsidRPr="007E7CD2">
          <w:rPr>
            <w:rFonts w:ascii="Lato" w:eastAsia="Times New Roman" w:hAnsi="Lato" w:cs="Helvetica"/>
            <w:color w:val="2E8540"/>
            <w:u w:val="single"/>
          </w:rPr>
          <w:t>Program.Intake@usda.gov</w:t>
        </w:r>
      </w:hyperlink>
    </w:p>
    <w:p w14:paraId="64787DAE" w14:textId="77777777" w:rsidR="003B4105" w:rsidRPr="007E7CD2" w:rsidRDefault="003B4105" w:rsidP="003B4105">
      <w:pPr>
        <w:shd w:val="clear" w:color="auto" w:fill="FFFFFF"/>
        <w:spacing w:before="100" w:beforeAutospacing="1" w:after="100" w:afterAutospacing="1" w:line="240" w:lineRule="auto"/>
        <w:rPr>
          <w:rFonts w:ascii="Lato" w:eastAsia="Times New Roman" w:hAnsi="Lato" w:cs="Helvetica"/>
          <w:color w:val="1B1B1B"/>
        </w:rPr>
      </w:pPr>
      <w:r w:rsidRPr="007E7CD2">
        <w:rPr>
          <w:rFonts w:ascii="Lato" w:eastAsia="Times New Roman" w:hAnsi="Lato" w:cs="Helvetica"/>
          <w:color w:val="1B1B1B"/>
        </w:rPr>
        <w:t> This institution is an equal opportunity provider.</w:t>
      </w:r>
    </w:p>
    <w:p w14:paraId="7D7A77B0" w14:textId="77777777" w:rsidR="003B4105" w:rsidRPr="007E7CD2" w:rsidRDefault="003B4105" w:rsidP="003B4105">
      <w:pPr>
        <w:rPr>
          <w:rFonts w:ascii="Lato" w:hAnsi="Lato"/>
        </w:rPr>
      </w:pPr>
    </w:p>
    <w:p w14:paraId="31A2E7FC" w14:textId="77777777" w:rsidR="4AA55B0F" w:rsidRDefault="4AA55B0F" w:rsidP="4AA55B0F">
      <w:pPr>
        <w:rPr>
          <w:rFonts w:ascii="Lato" w:eastAsia="Lato" w:hAnsi="Lato" w:cs="Lato"/>
          <w:i/>
          <w:iCs/>
          <w:sz w:val="24"/>
          <w:szCs w:val="24"/>
        </w:rPr>
      </w:pPr>
    </w:p>
    <w:p w14:paraId="7B435AF6" w14:textId="6FA95D6E" w:rsidR="4AA55B0F" w:rsidRDefault="4AA55B0F" w:rsidP="4AA55B0F">
      <w:pPr>
        <w:rPr>
          <w:rFonts w:ascii="Lato" w:eastAsia="Lato" w:hAnsi="Lato" w:cs="Lato"/>
          <w:i/>
          <w:iCs/>
          <w:sz w:val="24"/>
          <w:szCs w:val="24"/>
        </w:rPr>
      </w:pPr>
    </w:p>
    <w:p w14:paraId="2C078E63" w14:textId="5B165149" w:rsidR="009F1ACE" w:rsidRDefault="009F1ACE" w:rsidP="5F85FD11"/>
    <w:sectPr w:rsidR="009F1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1EBE"/>
    <w:multiLevelType w:val="hybridMultilevel"/>
    <w:tmpl w:val="015EECBC"/>
    <w:lvl w:ilvl="0" w:tplc="66181E38">
      <w:start w:val="1"/>
      <w:numFmt w:val="upperRoman"/>
      <w:lvlText w:val="%1."/>
      <w:lvlJc w:val="right"/>
      <w:pPr>
        <w:ind w:left="720" w:hanging="360"/>
      </w:pPr>
    </w:lvl>
    <w:lvl w:ilvl="1" w:tplc="9B800F76">
      <w:start w:val="1"/>
      <w:numFmt w:val="lowerLetter"/>
      <w:lvlText w:val="%2."/>
      <w:lvlJc w:val="left"/>
      <w:pPr>
        <w:ind w:left="1440" w:hanging="360"/>
      </w:pPr>
    </w:lvl>
    <w:lvl w:ilvl="2" w:tplc="8222BB30">
      <w:start w:val="1"/>
      <w:numFmt w:val="lowerRoman"/>
      <w:lvlText w:val="%3."/>
      <w:lvlJc w:val="right"/>
      <w:pPr>
        <w:ind w:left="2160" w:hanging="180"/>
      </w:pPr>
    </w:lvl>
    <w:lvl w:ilvl="3" w:tplc="AEBE32FE">
      <w:start w:val="1"/>
      <w:numFmt w:val="decimal"/>
      <w:lvlText w:val="%4."/>
      <w:lvlJc w:val="left"/>
      <w:pPr>
        <w:ind w:left="2880" w:hanging="360"/>
      </w:pPr>
    </w:lvl>
    <w:lvl w:ilvl="4" w:tplc="BD02A9EA">
      <w:start w:val="1"/>
      <w:numFmt w:val="lowerLetter"/>
      <w:lvlText w:val="%5."/>
      <w:lvlJc w:val="left"/>
      <w:pPr>
        <w:ind w:left="3600" w:hanging="360"/>
      </w:pPr>
    </w:lvl>
    <w:lvl w:ilvl="5" w:tplc="EE561840">
      <w:start w:val="1"/>
      <w:numFmt w:val="lowerRoman"/>
      <w:lvlText w:val="%6."/>
      <w:lvlJc w:val="right"/>
      <w:pPr>
        <w:ind w:left="4320" w:hanging="180"/>
      </w:pPr>
    </w:lvl>
    <w:lvl w:ilvl="6" w:tplc="A3B6F384">
      <w:start w:val="1"/>
      <w:numFmt w:val="decimal"/>
      <w:lvlText w:val="%7."/>
      <w:lvlJc w:val="left"/>
      <w:pPr>
        <w:ind w:left="5040" w:hanging="360"/>
      </w:pPr>
    </w:lvl>
    <w:lvl w:ilvl="7" w:tplc="C75CA010">
      <w:start w:val="1"/>
      <w:numFmt w:val="lowerLetter"/>
      <w:lvlText w:val="%8."/>
      <w:lvlJc w:val="left"/>
      <w:pPr>
        <w:ind w:left="5760" w:hanging="360"/>
      </w:pPr>
    </w:lvl>
    <w:lvl w:ilvl="8" w:tplc="20A48A38">
      <w:start w:val="1"/>
      <w:numFmt w:val="lowerRoman"/>
      <w:lvlText w:val="%9."/>
      <w:lvlJc w:val="right"/>
      <w:pPr>
        <w:ind w:left="6480" w:hanging="180"/>
      </w:pPr>
    </w:lvl>
  </w:abstractNum>
  <w:abstractNum w:abstractNumId="1" w15:restartNumberingAfterBreak="0">
    <w:nsid w:val="53FB477E"/>
    <w:multiLevelType w:val="hybridMultilevel"/>
    <w:tmpl w:val="46685764"/>
    <w:lvl w:ilvl="0" w:tplc="FA2E4E60">
      <w:start w:val="2"/>
      <w:numFmt w:val="upperRoman"/>
      <w:lvlText w:val="%1."/>
      <w:lvlJc w:val="right"/>
      <w:pPr>
        <w:ind w:left="720" w:hanging="360"/>
      </w:pPr>
    </w:lvl>
    <w:lvl w:ilvl="1" w:tplc="52167E46">
      <w:start w:val="1"/>
      <w:numFmt w:val="lowerLetter"/>
      <w:lvlText w:val="%2."/>
      <w:lvlJc w:val="left"/>
      <w:pPr>
        <w:ind w:left="1440" w:hanging="360"/>
      </w:pPr>
    </w:lvl>
    <w:lvl w:ilvl="2" w:tplc="A0741B8A">
      <w:start w:val="1"/>
      <w:numFmt w:val="lowerRoman"/>
      <w:lvlText w:val="%3."/>
      <w:lvlJc w:val="right"/>
      <w:pPr>
        <w:ind w:left="2160" w:hanging="180"/>
      </w:pPr>
    </w:lvl>
    <w:lvl w:ilvl="3" w:tplc="C4242BC6">
      <w:start w:val="1"/>
      <w:numFmt w:val="decimal"/>
      <w:lvlText w:val="%4."/>
      <w:lvlJc w:val="left"/>
      <w:pPr>
        <w:ind w:left="2880" w:hanging="360"/>
      </w:pPr>
    </w:lvl>
    <w:lvl w:ilvl="4" w:tplc="CBE6E41C">
      <w:start w:val="1"/>
      <w:numFmt w:val="lowerLetter"/>
      <w:lvlText w:val="%5."/>
      <w:lvlJc w:val="left"/>
      <w:pPr>
        <w:ind w:left="3600" w:hanging="360"/>
      </w:pPr>
    </w:lvl>
    <w:lvl w:ilvl="5" w:tplc="861C7E7C">
      <w:start w:val="1"/>
      <w:numFmt w:val="lowerRoman"/>
      <w:lvlText w:val="%6."/>
      <w:lvlJc w:val="right"/>
      <w:pPr>
        <w:ind w:left="4320" w:hanging="180"/>
      </w:pPr>
    </w:lvl>
    <w:lvl w:ilvl="6" w:tplc="D5328AAE">
      <w:start w:val="1"/>
      <w:numFmt w:val="decimal"/>
      <w:lvlText w:val="%7."/>
      <w:lvlJc w:val="left"/>
      <w:pPr>
        <w:ind w:left="5040" w:hanging="360"/>
      </w:pPr>
    </w:lvl>
    <w:lvl w:ilvl="7" w:tplc="9F46AD04">
      <w:start w:val="1"/>
      <w:numFmt w:val="lowerLetter"/>
      <w:lvlText w:val="%8."/>
      <w:lvlJc w:val="left"/>
      <w:pPr>
        <w:ind w:left="5760" w:hanging="360"/>
      </w:pPr>
    </w:lvl>
    <w:lvl w:ilvl="8" w:tplc="28769E62">
      <w:start w:val="1"/>
      <w:numFmt w:val="lowerRoman"/>
      <w:lvlText w:val="%9."/>
      <w:lvlJc w:val="right"/>
      <w:pPr>
        <w:ind w:left="6480" w:hanging="180"/>
      </w:pPr>
    </w:lvl>
  </w:abstractNum>
  <w:abstractNum w:abstractNumId="2" w15:restartNumberingAfterBreak="0">
    <w:nsid w:val="7279583A"/>
    <w:multiLevelType w:val="multilevel"/>
    <w:tmpl w:val="F5789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3683398">
    <w:abstractNumId w:val="1"/>
  </w:num>
  <w:num w:numId="2" w16cid:durableId="578516928">
    <w:abstractNumId w:val="0"/>
  </w:num>
  <w:num w:numId="3" w16cid:durableId="718941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469E4B"/>
    <w:rsid w:val="003B4105"/>
    <w:rsid w:val="005B71EF"/>
    <w:rsid w:val="00856EA8"/>
    <w:rsid w:val="00864C89"/>
    <w:rsid w:val="0092087F"/>
    <w:rsid w:val="009C6D38"/>
    <w:rsid w:val="009F1ACE"/>
    <w:rsid w:val="00A565B4"/>
    <w:rsid w:val="00A733B8"/>
    <w:rsid w:val="00F10540"/>
    <w:rsid w:val="00FD4EE3"/>
    <w:rsid w:val="206D7203"/>
    <w:rsid w:val="32E7FBE7"/>
    <w:rsid w:val="4AA55B0F"/>
    <w:rsid w:val="5416BBD0"/>
    <w:rsid w:val="5CB6EBC1"/>
    <w:rsid w:val="5F85FD11"/>
    <w:rsid w:val="69A3A366"/>
    <w:rsid w:val="7B469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9E4B"/>
  <w15:chartTrackingRefBased/>
  <w15:docId w15:val="{160D4E17-81A0-4249-8554-1034387E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71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FD4EE3"/>
    <w:rPr>
      <w:rFonts w:ascii="Segoe UI" w:hAnsi="Segoe UI" w:cs="Segoe UI" w:hint="default"/>
      <w:i/>
      <w:iCs/>
      <w:sz w:val="18"/>
      <w:szCs w:val="18"/>
    </w:rPr>
  </w:style>
  <w:style w:type="character" w:customStyle="1" w:styleId="Heading1Char">
    <w:name w:val="Heading 1 Char"/>
    <w:basedOn w:val="DefaultParagraphFont"/>
    <w:link w:val="Heading1"/>
    <w:uiPriority w:val="9"/>
    <w:rsid w:val="005B71EF"/>
    <w:rPr>
      <w:rFonts w:asciiTheme="majorHAnsi" w:eastAsiaTheme="majorEastAsia" w:hAnsiTheme="majorHAnsi" w:cstheme="majorBidi"/>
      <w:color w:val="2F5496" w:themeColor="accent1" w:themeShade="BF"/>
      <w:sz w:val="32"/>
      <w:szCs w:val="32"/>
    </w:rPr>
  </w:style>
  <w:style w:type="paragraph" w:customStyle="1" w:styleId="Default">
    <w:name w:val="Default"/>
    <w:rsid w:val="003B4105"/>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www.usda.gov/sites/default/files/documents/ad-302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Alyssa A. DPI</dc:creator>
  <cp:keywords/>
  <dc:description/>
  <cp:lastModifiedBy>OToole, Kristan A. DPI</cp:lastModifiedBy>
  <cp:revision>2</cp:revision>
  <dcterms:created xsi:type="dcterms:W3CDTF">2023-10-24T15:10:00Z</dcterms:created>
  <dcterms:modified xsi:type="dcterms:W3CDTF">2023-10-24T15:10:00Z</dcterms:modified>
</cp:coreProperties>
</file>