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360DA" w14:textId="77777777" w:rsidR="00E81E07" w:rsidRPr="00E81E07" w:rsidRDefault="00E81E07" w:rsidP="00B31298">
      <w:pPr>
        <w:jc w:val="center"/>
        <w:rPr>
          <w:rFonts w:ascii="Times" w:hAnsi="Times" w:cs="Times"/>
          <w:b/>
          <w:bCs/>
          <w:sz w:val="36"/>
          <w:szCs w:val="36"/>
        </w:rPr>
      </w:pPr>
      <w:r w:rsidRPr="00E81E07">
        <w:rPr>
          <w:rFonts w:ascii="Times" w:hAnsi="Times" w:cs="Times"/>
          <w:b/>
          <w:bCs/>
          <w:sz w:val="36"/>
          <w:szCs w:val="36"/>
        </w:rPr>
        <w:t>Factors to consider when establishing</w:t>
      </w:r>
    </w:p>
    <w:p w14:paraId="1CA741E5" w14:textId="77777777" w:rsidR="00E81E07" w:rsidRPr="00E81E07" w:rsidRDefault="00E81E07" w:rsidP="00B31298">
      <w:pPr>
        <w:jc w:val="center"/>
        <w:rPr>
          <w:rFonts w:ascii="Times" w:hAnsi="Times" w:cs="Times"/>
          <w:b/>
          <w:bCs/>
          <w:sz w:val="36"/>
          <w:szCs w:val="36"/>
        </w:rPr>
      </w:pPr>
      <w:r w:rsidRPr="00E81E07">
        <w:rPr>
          <w:rFonts w:ascii="Times" w:hAnsi="Times" w:cs="Times"/>
          <w:b/>
          <w:bCs/>
          <w:sz w:val="36"/>
          <w:szCs w:val="36"/>
        </w:rPr>
        <w:t xml:space="preserve"> </w:t>
      </w:r>
      <w:proofErr w:type="gramStart"/>
      <w:r w:rsidRPr="00E81E07">
        <w:rPr>
          <w:rFonts w:ascii="Times" w:hAnsi="Times" w:cs="Times"/>
          <w:b/>
          <w:bCs/>
          <w:sz w:val="36"/>
          <w:szCs w:val="36"/>
        </w:rPr>
        <w:t>an</w:t>
      </w:r>
      <w:proofErr w:type="gramEnd"/>
      <w:r w:rsidRPr="00E81E07">
        <w:rPr>
          <w:rFonts w:ascii="Times" w:hAnsi="Times" w:cs="Times"/>
          <w:b/>
          <w:bCs/>
          <w:sz w:val="36"/>
          <w:szCs w:val="36"/>
        </w:rPr>
        <w:t xml:space="preserve"> employee benefit trust</w:t>
      </w:r>
    </w:p>
    <w:p w14:paraId="5797B898" w14:textId="4BAA7235" w:rsidR="005D4E9A" w:rsidRPr="009E744F" w:rsidRDefault="009E744F" w:rsidP="00B31298">
      <w:pPr>
        <w:jc w:val="center"/>
        <w:rPr>
          <w:bCs/>
          <w:i/>
        </w:rPr>
      </w:pPr>
      <w:r w:rsidRPr="009E744F">
        <w:rPr>
          <w:bCs/>
          <w:i/>
        </w:rPr>
        <w:t>update</w:t>
      </w:r>
      <w:r w:rsidR="00815225">
        <w:rPr>
          <w:bCs/>
          <w:i/>
        </w:rPr>
        <w:t>d</w:t>
      </w:r>
      <w:bookmarkStart w:id="0" w:name="_GoBack"/>
      <w:bookmarkEnd w:id="0"/>
      <w:r w:rsidRPr="009E744F">
        <w:rPr>
          <w:bCs/>
          <w:i/>
        </w:rPr>
        <w:t xml:space="preserve"> – </w:t>
      </w:r>
      <w:r w:rsidR="00762745">
        <w:rPr>
          <w:bCs/>
          <w:i/>
        </w:rPr>
        <w:t>June 15, 2017</w:t>
      </w:r>
    </w:p>
    <w:p w14:paraId="7291950A" w14:textId="77777777" w:rsidR="00E81E07" w:rsidRDefault="00E81E07" w:rsidP="00457861"/>
    <w:p w14:paraId="560FA5DB" w14:textId="6C45FB2F" w:rsidR="00457861" w:rsidRDefault="00465115" w:rsidP="00457861">
      <w:r>
        <w:t xml:space="preserve">Governmental Accounting Standards Board (GASB) </w:t>
      </w:r>
      <w:r w:rsidR="00457861" w:rsidRPr="00457861">
        <w:t>Statement 45</w:t>
      </w:r>
      <w:r w:rsidR="00762745">
        <w:t xml:space="preserve"> and amended by Statement 75 were</w:t>
      </w:r>
      <w:r w:rsidR="002466AA">
        <w:t xml:space="preserve"> established to </w:t>
      </w:r>
      <w:r w:rsidR="00457861" w:rsidRPr="00457861">
        <w:t xml:space="preserve">provide more </w:t>
      </w:r>
      <w:r>
        <w:t>complete</w:t>
      </w:r>
      <w:r w:rsidR="002466AA">
        <w:t xml:space="preserve"> and</w:t>
      </w:r>
      <w:r>
        <w:t xml:space="preserve"> reliable </w:t>
      </w:r>
      <w:r w:rsidR="00457861" w:rsidRPr="00457861">
        <w:t xml:space="preserve">financial reporting regarding </w:t>
      </w:r>
      <w:r w:rsidR="0058600F">
        <w:t xml:space="preserve">other </w:t>
      </w:r>
      <w:proofErr w:type="spellStart"/>
      <w:r w:rsidR="0058600F">
        <w:t>post employment</w:t>
      </w:r>
      <w:proofErr w:type="spellEnd"/>
      <w:r w:rsidR="0058600F">
        <w:t xml:space="preserve"> benefits (OPEB).  The statement</w:t>
      </w:r>
      <w:r w:rsidR="00762745">
        <w:t>s address</w:t>
      </w:r>
      <w:r w:rsidR="0058600F">
        <w:t xml:space="preserve"> the </w:t>
      </w:r>
      <w:r w:rsidR="00457861" w:rsidRPr="00457861">
        <w:t>costs and obligations governments incur when they provide post employment benefits</w:t>
      </w:r>
      <w:r>
        <w:t>,</w:t>
      </w:r>
      <w:r w:rsidR="00457861" w:rsidRPr="00457861">
        <w:t xml:space="preserve"> other than pensions</w:t>
      </w:r>
      <w:r>
        <w:t>,</w:t>
      </w:r>
      <w:r w:rsidR="00457861" w:rsidRPr="00457861">
        <w:t xml:space="preserve"> as compensation for services </w:t>
      </w:r>
      <w:r w:rsidR="009D5C20">
        <w:t xml:space="preserve">currently </w:t>
      </w:r>
      <w:r w:rsidR="00457861" w:rsidRPr="00457861">
        <w:t xml:space="preserve">rendered by employees.  </w:t>
      </w:r>
      <w:r w:rsidR="00762745">
        <w:t>As a result of these statements</w:t>
      </w:r>
      <w:r>
        <w:t xml:space="preserve">, school districts </w:t>
      </w:r>
      <w:r w:rsidR="00762745">
        <w:t xml:space="preserve">are </w:t>
      </w:r>
      <w:r>
        <w:t>required to determine their other post emp</w:t>
      </w:r>
      <w:r w:rsidR="00762745">
        <w:t>loyment benefit (OPEB) liabilities</w:t>
      </w:r>
      <w:r>
        <w:t xml:space="preserve">.  </w:t>
      </w:r>
      <w:r w:rsidR="00762745">
        <w:t>These s</w:t>
      </w:r>
      <w:r>
        <w:t>tatement</w:t>
      </w:r>
      <w:r w:rsidR="00762745">
        <w:t>s</w:t>
      </w:r>
      <w:r>
        <w:t xml:space="preserve"> do </w:t>
      </w:r>
      <w:r w:rsidRPr="003C09BB">
        <w:rPr>
          <w:rFonts w:ascii="Times" w:hAnsi="Times" w:cs="Times"/>
          <w:b/>
          <w:bCs/>
          <w:caps/>
        </w:rPr>
        <w:t>not</w:t>
      </w:r>
      <w:r w:rsidRPr="003C09BB">
        <w:rPr>
          <w:b/>
          <w:bCs/>
        </w:rPr>
        <w:t xml:space="preserve"> </w:t>
      </w:r>
      <w:r>
        <w:t xml:space="preserve">require a school district to set funds aside for the future payment of the liability, only </w:t>
      </w:r>
      <w:r w:rsidR="0058600F">
        <w:t xml:space="preserve">to </w:t>
      </w:r>
      <w:r>
        <w:t>determine the liability and disclose it in the financial statements.</w:t>
      </w:r>
    </w:p>
    <w:p w14:paraId="315A9AE6" w14:textId="77777777" w:rsidR="003C09BB" w:rsidRDefault="003C09BB" w:rsidP="00457861"/>
    <w:p w14:paraId="7BF5494F" w14:textId="77777777" w:rsidR="003C09BB" w:rsidRDefault="003C09BB" w:rsidP="00457861">
      <w:r>
        <w:t xml:space="preserve">Choosing to </w:t>
      </w:r>
      <w:r w:rsidR="009D5C20">
        <w:t>fund</w:t>
      </w:r>
      <w:r>
        <w:t xml:space="preserve"> </w:t>
      </w:r>
      <w:r w:rsidR="009D5C20">
        <w:t xml:space="preserve">the OPEB liability through a trust </w:t>
      </w:r>
      <w:r>
        <w:t xml:space="preserve">is strictly a local decision of the district.  </w:t>
      </w:r>
      <w:r w:rsidR="00B30B1A">
        <w:t xml:space="preserve">If </w:t>
      </w:r>
      <w:r w:rsidR="00130E39">
        <w:t xml:space="preserve">district </w:t>
      </w:r>
      <w:r w:rsidR="00B30B1A">
        <w:t xml:space="preserve">resources </w:t>
      </w:r>
      <w:r w:rsidR="00130E39">
        <w:t>are available</w:t>
      </w:r>
      <w:r w:rsidR="00B30B1A">
        <w:t xml:space="preserve">, setting funds aside </w:t>
      </w:r>
      <w:r w:rsidR="00130E39">
        <w:t>for the future payment of these benefits</w:t>
      </w:r>
      <w:r w:rsidR="0086366E">
        <w:t xml:space="preserve"> appears to be a fiscally </w:t>
      </w:r>
      <w:r w:rsidR="00F36ADB">
        <w:t>responsible</w:t>
      </w:r>
      <w:r w:rsidR="0086366E">
        <w:t xml:space="preserve"> thing to do.</w:t>
      </w:r>
      <w:r w:rsidR="00130E39">
        <w:t xml:space="preserve">  </w:t>
      </w:r>
      <w:r>
        <w:t>The following information is provided to assist you in making th</w:t>
      </w:r>
      <w:r w:rsidR="00130E39">
        <w:t xml:space="preserve">e </w:t>
      </w:r>
      <w:r>
        <w:t>decision</w:t>
      </w:r>
      <w:r w:rsidR="00130E39">
        <w:t xml:space="preserve"> of whether to set funds aside or continue on the “pay as you go” (pay current retirees from current operating funds).</w:t>
      </w:r>
    </w:p>
    <w:p w14:paraId="0C0A6126" w14:textId="77777777" w:rsidR="00F8621F" w:rsidRDefault="00F8621F" w:rsidP="00457861"/>
    <w:p w14:paraId="053DB59E" w14:textId="77777777" w:rsidR="00E81E07" w:rsidRDefault="00E81E07" w:rsidP="00457861"/>
    <w:tbl>
      <w:tblPr>
        <w:tblStyle w:val="TableGrid"/>
        <w:tblW w:w="8876" w:type="dxa"/>
        <w:tblInd w:w="0" w:type="dxa"/>
        <w:tblLayout w:type="fixed"/>
        <w:tblLook w:val="01E0" w:firstRow="1" w:lastRow="1" w:firstColumn="1" w:lastColumn="1" w:noHBand="0" w:noVBand="0"/>
      </w:tblPr>
      <w:tblGrid>
        <w:gridCol w:w="4320"/>
        <w:gridCol w:w="236"/>
        <w:gridCol w:w="4320"/>
      </w:tblGrid>
      <w:tr w:rsidR="00ED09F6" w14:paraId="0F09D0AF" w14:textId="77777777">
        <w:tc>
          <w:tcPr>
            <w:tcW w:w="4320" w:type="dxa"/>
          </w:tcPr>
          <w:p w14:paraId="2B6D1477" w14:textId="77777777" w:rsidR="00ED09F6" w:rsidRDefault="00ED09F6" w:rsidP="00BC48AA">
            <w:pPr>
              <w:rPr>
                <w:b/>
                <w:bCs/>
              </w:rPr>
            </w:pPr>
            <w:r>
              <w:rPr>
                <w:b/>
                <w:bCs/>
              </w:rPr>
              <w:t>Fund other post employment benefits on the “pay as you go” method:</w:t>
            </w:r>
          </w:p>
        </w:tc>
        <w:tc>
          <w:tcPr>
            <w:tcW w:w="236" w:type="dxa"/>
          </w:tcPr>
          <w:p w14:paraId="12B6D733" w14:textId="77777777" w:rsidR="00ED09F6" w:rsidRDefault="00ED09F6" w:rsidP="00BC48AA"/>
        </w:tc>
        <w:tc>
          <w:tcPr>
            <w:tcW w:w="4320" w:type="dxa"/>
          </w:tcPr>
          <w:p w14:paraId="0B6A7B53" w14:textId="77777777" w:rsidR="00ED09F6" w:rsidRDefault="00ED09F6" w:rsidP="00BC48AA">
            <w:pPr>
              <w:rPr>
                <w:b/>
                <w:bCs/>
              </w:rPr>
            </w:pPr>
            <w:r>
              <w:rPr>
                <w:b/>
                <w:bCs/>
              </w:rPr>
              <w:t>Fund a trust for future payment of post employment benefits:</w:t>
            </w:r>
          </w:p>
        </w:tc>
      </w:tr>
      <w:tr w:rsidR="00F8621F" w14:paraId="3501B9E2" w14:textId="77777777">
        <w:tc>
          <w:tcPr>
            <w:tcW w:w="4320" w:type="dxa"/>
          </w:tcPr>
          <w:p w14:paraId="06977F87" w14:textId="77777777" w:rsidR="00ED09F6" w:rsidRPr="00EE38A2" w:rsidRDefault="00ED09F6" w:rsidP="00ED09F6">
            <w:pPr>
              <w:rPr>
                <w:i/>
                <w:iCs/>
              </w:rPr>
            </w:pPr>
            <w:r w:rsidRPr="00EE38A2">
              <w:rPr>
                <w:i/>
                <w:iCs/>
              </w:rPr>
              <w:t xml:space="preserve">A school district may choose to continue payment of other post employment benefits from current year operating funds (pay as you go).  Under this </w:t>
            </w:r>
            <w:r w:rsidR="00765828">
              <w:rPr>
                <w:i/>
                <w:iCs/>
              </w:rPr>
              <w:t xml:space="preserve">option, the district is </w:t>
            </w:r>
            <w:r w:rsidRPr="00EE38A2">
              <w:rPr>
                <w:i/>
                <w:iCs/>
              </w:rPr>
              <w:t>require</w:t>
            </w:r>
            <w:r w:rsidR="00765828">
              <w:rPr>
                <w:i/>
                <w:iCs/>
              </w:rPr>
              <w:t>d</w:t>
            </w:r>
            <w:r w:rsidRPr="00EE38A2">
              <w:rPr>
                <w:i/>
                <w:iCs/>
              </w:rPr>
              <w:t xml:space="preserve"> to determine the OPEB liability for financial reporting under the appropriate actuarial valuation or other acceptable cost method.  There are several things a district may want to consider when </w:t>
            </w:r>
            <w:r w:rsidR="00B924F3">
              <w:rPr>
                <w:i/>
                <w:iCs/>
              </w:rPr>
              <w:t>choosing this method:</w:t>
            </w:r>
          </w:p>
          <w:p w14:paraId="7D040920" w14:textId="77777777" w:rsidR="00F8621F" w:rsidRDefault="00F8621F" w:rsidP="00BC48AA"/>
        </w:tc>
        <w:tc>
          <w:tcPr>
            <w:tcW w:w="236" w:type="dxa"/>
          </w:tcPr>
          <w:p w14:paraId="1EDEFB7A" w14:textId="77777777" w:rsidR="00F8621F" w:rsidRDefault="00F8621F" w:rsidP="00BC48AA"/>
        </w:tc>
        <w:tc>
          <w:tcPr>
            <w:tcW w:w="4320" w:type="dxa"/>
          </w:tcPr>
          <w:p w14:paraId="6B622BB1" w14:textId="77777777" w:rsidR="00F8621F" w:rsidRDefault="00765828" w:rsidP="00BC48AA">
            <w:pPr>
              <w:rPr>
                <w:i/>
                <w:iCs/>
              </w:rPr>
            </w:pPr>
            <w:r>
              <w:rPr>
                <w:i/>
                <w:iCs/>
              </w:rPr>
              <w:t>A district may choose to set up a trust thereby making</w:t>
            </w:r>
            <w:r w:rsidR="00ED09F6" w:rsidRPr="00EE38A2">
              <w:rPr>
                <w:i/>
                <w:iCs/>
              </w:rPr>
              <w:t xml:space="preserve"> a contribution to </w:t>
            </w:r>
            <w:r>
              <w:rPr>
                <w:i/>
                <w:iCs/>
              </w:rPr>
              <w:t>the</w:t>
            </w:r>
            <w:r w:rsidR="00ED09F6" w:rsidRPr="00EE38A2">
              <w:rPr>
                <w:i/>
                <w:iCs/>
              </w:rPr>
              <w:t xml:space="preserve"> trust for payment of future post employment benefits</w:t>
            </w:r>
            <w:r>
              <w:rPr>
                <w:i/>
                <w:iCs/>
              </w:rPr>
              <w:t>.  Under this option</w:t>
            </w:r>
            <w:r w:rsidR="00ED09F6" w:rsidRPr="00EE38A2">
              <w:rPr>
                <w:i/>
                <w:iCs/>
              </w:rPr>
              <w:t>, a school district is required to determine the OPEB liability for financial reporting under the appropriate actuarial valuation or other acceptable cost method.  The difference between making trust payments and “pay as you go” is that funds are set aside in trust for future payment of the benefits, rather than paying the benefit as it comes due with operating funds.  There are several things a district may want to consider when choosing this method</w:t>
            </w:r>
            <w:r w:rsidR="00B924F3">
              <w:rPr>
                <w:i/>
                <w:iCs/>
              </w:rPr>
              <w:t>:</w:t>
            </w:r>
          </w:p>
          <w:p w14:paraId="3033243B" w14:textId="77777777" w:rsidR="00E81E07" w:rsidRPr="00EE38A2" w:rsidRDefault="00E81E07" w:rsidP="00BC48AA">
            <w:pPr>
              <w:rPr>
                <w:i/>
                <w:iCs/>
              </w:rPr>
            </w:pPr>
          </w:p>
        </w:tc>
      </w:tr>
    </w:tbl>
    <w:p w14:paraId="1E44F3C3" w14:textId="77777777" w:rsidR="00E81E07" w:rsidRDefault="00E81E07">
      <w:r>
        <w:br w:type="page"/>
      </w:r>
    </w:p>
    <w:tbl>
      <w:tblPr>
        <w:tblStyle w:val="TableGrid"/>
        <w:tblW w:w="8876" w:type="dxa"/>
        <w:tblInd w:w="0" w:type="dxa"/>
        <w:tblLayout w:type="fixed"/>
        <w:tblLook w:val="01E0" w:firstRow="1" w:lastRow="1" w:firstColumn="1" w:lastColumn="1" w:noHBand="0" w:noVBand="0"/>
      </w:tblPr>
      <w:tblGrid>
        <w:gridCol w:w="4320"/>
        <w:gridCol w:w="236"/>
        <w:gridCol w:w="4320"/>
      </w:tblGrid>
      <w:tr w:rsidR="00E81E07" w14:paraId="1BBB4508" w14:textId="77777777">
        <w:tc>
          <w:tcPr>
            <w:tcW w:w="4320" w:type="dxa"/>
          </w:tcPr>
          <w:p w14:paraId="56483F74" w14:textId="77777777" w:rsidR="00E81E07" w:rsidRDefault="00E81E07" w:rsidP="00B924EA">
            <w:pPr>
              <w:rPr>
                <w:b/>
                <w:bCs/>
              </w:rPr>
            </w:pPr>
            <w:r>
              <w:rPr>
                <w:b/>
                <w:bCs/>
              </w:rPr>
              <w:t>Fund other post employment benefits on the “pay as you go” method:</w:t>
            </w:r>
          </w:p>
        </w:tc>
        <w:tc>
          <w:tcPr>
            <w:tcW w:w="236" w:type="dxa"/>
          </w:tcPr>
          <w:p w14:paraId="2CB72726" w14:textId="77777777" w:rsidR="00E81E07" w:rsidRDefault="00E81E07" w:rsidP="00B924EA"/>
        </w:tc>
        <w:tc>
          <w:tcPr>
            <w:tcW w:w="4320" w:type="dxa"/>
          </w:tcPr>
          <w:p w14:paraId="0965A6C3" w14:textId="77777777" w:rsidR="00E81E07" w:rsidRDefault="00E81E07" w:rsidP="00B924EA">
            <w:pPr>
              <w:rPr>
                <w:b/>
                <w:bCs/>
              </w:rPr>
            </w:pPr>
            <w:r>
              <w:rPr>
                <w:b/>
                <w:bCs/>
              </w:rPr>
              <w:t>Fund a trust for future payment of post employment benefits:</w:t>
            </w:r>
          </w:p>
        </w:tc>
      </w:tr>
      <w:tr w:rsidR="00F8621F" w14:paraId="2DB1CD9E" w14:textId="77777777">
        <w:tc>
          <w:tcPr>
            <w:tcW w:w="4320" w:type="dxa"/>
          </w:tcPr>
          <w:p w14:paraId="7A54149A" w14:textId="77777777" w:rsidR="00F8621F" w:rsidRDefault="00B85521" w:rsidP="00B85521">
            <w:pPr>
              <w:numPr>
                <w:ilvl w:val="0"/>
                <w:numId w:val="17"/>
              </w:numPr>
            </w:pPr>
            <w:r>
              <w:t xml:space="preserve">The annual </w:t>
            </w:r>
            <w:r w:rsidR="00EF2F38">
              <w:t>“pay as you go” cost</w:t>
            </w:r>
            <w:r>
              <w:t xml:space="preserve"> becomes part of the district’s shared cost.  Depending on how a district is aided, this may have either a positive or negative affect on general aid received.  </w:t>
            </w:r>
            <w:r w:rsidR="00F8621F">
              <w:t>The payment of retirement benefits through this method is not eligible for federal or state grants or state categorical aid.</w:t>
            </w:r>
          </w:p>
          <w:p w14:paraId="06A749D7" w14:textId="77777777" w:rsidR="00F8621F" w:rsidRDefault="00F8621F" w:rsidP="00BC48AA"/>
        </w:tc>
        <w:tc>
          <w:tcPr>
            <w:tcW w:w="236" w:type="dxa"/>
          </w:tcPr>
          <w:p w14:paraId="5AC8742D" w14:textId="77777777" w:rsidR="00F8621F" w:rsidRDefault="00F8621F" w:rsidP="00BC48AA"/>
        </w:tc>
        <w:tc>
          <w:tcPr>
            <w:tcW w:w="4320" w:type="dxa"/>
          </w:tcPr>
          <w:p w14:paraId="571DCF98" w14:textId="57405EB4" w:rsidR="00F8621F" w:rsidRPr="002B5C5F" w:rsidRDefault="007D3209" w:rsidP="00B85521">
            <w:pPr>
              <w:numPr>
                <w:ilvl w:val="0"/>
                <w:numId w:val="19"/>
              </w:numPr>
              <w:rPr>
                <w:rFonts w:ascii="Times" w:hAnsi="Times" w:cs="Times"/>
              </w:rPr>
            </w:pPr>
            <w:r>
              <w:t>The annual contribution to the trust becomes part of the district’s shared cost.  Depending on how a district is aided, this may have either a positive or negative affect on general aid received.  A contribution less than or equal to the ARC</w:t>
            </w:r>
            <w:r w:rsidR="00C15865">
              <w:t>/ADC</w:t>
            </w:r>
            <w:r>
              <w:t xml:space="preserve"> is eligible for federal or state grants</w:t>
            </w:r>
            <w:r w:rsidR="009E744F">
              <w:t xml:space="preserve"> </w:t>
            </w:r>
            <w:r>
              <w:t>provided consistent treatment is used in allocation to individuals or group(s) of employees in the plan.</w:t>
            </w:r>
            <w:r w:rsidR="009E744F">
              <w:t xml:space="preserve">  This contribution may also be eligible for additional state categorical aid provided all DPI requirements are met.</w:t>
            </w:r>
          </w:p>
        </w:tc>
      </w:tr>
      <w:tr w:rsidR="00F8621F" w14:paraId="322C1E5C" w14:textId="77777777">
        <w:tc>
          <w:tcPr>
            <w:tcW w:w="4320" w:type="dxa"/>
          </w:tcPr>
          <w:p w14:paraId="1929E03F" w14:textId="77777777" w:rsidR="00F8621F" w:rsidRDefault="00F8621F" w:rsidP="00BC48AA">
            <w:pPr>
              <w:numPr>
                <w:ilvl w:val="0"/>
                <w:numId w:val="21"/>
              </w:numPr>
            </w:pPr>
            <w:r>
              <w:t>Under the “pay as you go”, funds held for operating purposes (fund 10) are to be invested under WI statute 66.0603.  These investments are generally of a short term nature with low investment return.</w:t>
            </w:r>
          </w:p>
        </w:tc>
        <w:tc>
          <w:tcPr>
            <w:tcW w:w="236" w:type="dxa"/>
          </w:tcPr>
          <w:p w14:paraId="768C8D0D" w14:textId="77777777" w:rsidR="00F8621F" w:rsidRDefault="00F8621F" w:rsidP="00BC48AA"/>
        </w:tc>
        <w:tc>
          <w:tcPr>
            <w:tcW w:w="4320" w:type="dxa"/>
          </w:tcPr>
          <w:p w14:paraId="090C2675" w14:textId="77777777" w:rsidR="00F8621F" w:rsidRDefault="007D3209" w:rsidP="007D3209">
            <w:pPr>
              <w:numPr>
                <w:ilvl w:val="0"/>
                <w:numId w:val="23"/>
              </w:numPr>
            </w:pPr>
            <w:r>
              <w:t xml:space="preserve">In January, 2006, the Governor signed into law Wisconsin ACT 99 which allows funds held in trust to provide for other post employment benefits </w:t>
            </w:r>
            <w:r w:rsidR="00E81E07">
              <w:t>to</w:t>
            </w:r>
            <w:r w:rsidR="00967E01">
              <w:t xml:space="preserve"> be</w:t>
            </w:r>
            <w:r>
              <w:t xml:space="preserve"> invested in the same manner as is authorized for investments under s. 881.01 “uniform prudent investor act”.  This law provides for increased latitude in investing funds held in trust which may result in long-term investments with </w:t>
            </w:r>
            <w:r w:rsidR="00FB07D1">
              <w:t>increased</w:t>
            </w:r>
            <w:r>
              <w:t xml:space="preserve"> investment return.</w:t>
            </w:r>
          </w:p>
        </w:tc>
      </w:tr>
      <w:tr w:rsidR="00F8621F" w14:paraId="17B69CEE" w14:textId="77777777">
        <w:tc>
          <w:tcPr>
            <w:tcW w:w="4320" w:type="dxa"/>
          </w:tcPr>
          <w:p w14:paraId="619590AD" w14:textId="3F95106B" w:rsidR="00F8621F" w:rsidRDefault="00F8621F" w:rsidP="00B85521">
            <w:pPr>
              <w:numPr>
                <w:ilvl w:val="0"/>
                <w:numId w:val="27"/>
              </w:numPr>
            </w:pPr>
            <w:r>
              <w:t>With imp</w:t>
            </w:r>
            <w:r w:rsidR="00C15865">
              <w:t>lementation of GASB statement 75</w:t>
            </w:r>
            <w:r>
              <w:t xml:space="preserve">, a district will be required to </w:t>
            </w:r>
            <w:r w:rsidR="00C15865">
              <w:t xml:space="preserve">report balance of </w:t>
            </w:r>
            <w:r>
              <w:t xml:space="preserve">the </w:t>
            </w:r>
            <w:r w:rsidR="00C15865">
              <w:t>Net OPEB L</w:t>
            </w:r>
            <w:r>
              <w:t xml:space="preserve">iability </w:t>
            </w:r>
            <w:r w:rsidR="00C15865">
              <w:t xml:space="preserve">on the face of the financial statements </w:t>
            </w:r>
            <w:r>
              <w:t xml:space="preserve">as well as the method of funding.  Without a contribution to reduce the liability reported in the district wide financial statements, </w:t>
            </w:r>
            <w:r w:rsidR="00967E01">
              <w:t>the liability</w:t>
            </w:r>
            <w:r>
              <w:t xml:space="preserve"> will continue to grow.  The increased liability and planned method of funding may negative</w:t>
            </w:r>
            <w:r w:rsidR="00967E01">
              <w:t>ly</w:t>
            </w:r>
            <w:r>
              <w:t xml:space="preserve"> impact future bond ratings.</w:t>
            </w:r>
          </w:p>
          <w:p w14:paraId="41DC3435" w14:textId="77777777" w:rsidR="00F8621F" w:rsidRDefault="00F8621F" w:rsidP="00BC48AA"/>
        </w:tc>
        <w:tc>
          <w:tcPr>
            <w:tcW w:w="236" w:type="dxa"/>
          </w:tcPr>
          <w:p w14:paraId="37CBBCA8" w14:textId="77777777" w:rsidR="00F8621F" w:rsidRDefault="00F8621F" w:rsidP="00BC48AA"/>
        </w:tc>
        <w:tc>
          <w:tcPr>
            <w:tcW w:w="4320" w:type="dxa"/>
          </w:tcPr>
          <w:p w14:paraId="1E1145FC" w14:textId="01511AE7" w:rsidR="00F8621F" w:rsidRDefault="002B5C5F" w:rsidP="00C15865">
            <w:pPr>
              <w:numPr>
                <w:ilvl w:val="0"/>
                <w:numId w:val="29"/>
              </w:numPr>
            </w:pPr>
            <w:r>
              <w:t>With imp</w:t>
            </w:r>
            <w:r w:rsidR="00C15865">
              <w:t>lementation of GASB statement 75</w:t>
            </w:r>
            <w:r>
              <w:t xml:space="preserve">, a district will be required to disclose the </w:t>
            </w:r>
            <w:r w:rsidR="00C15865">
              <w:t xml:space="preserve">balance </w:t>
            </w:r>
            <w:r>
              <w:t xml:space="preserve">of the </w:t>
            </w:r>
            <w:r w:rsidR="00C15865">
              <w:t>Net OPEB L</w:t>
            </w:r>
            <w:r>
              <w:t xml:space="preserve">iability as well as the method of funding.  When contributions to a trust are made, the liability reported in the district wide financial statements will </w:t>
            </w:r>
            <w:r w:rsidR="00967E01">
              <w:t>decrease</w:t>
            </w:r>
            <w:r>
              <w:t>.  This reduced liability and planned method of funding may positively impact future bond ratings.</w:t>
            </w:r>
          </w:p>
        </w:tc>
      </w:tr>
    </w:tbl>
    <w:p w14:paraId="53AF1BC5" w14:textId="77777777" w:rsidR="00CF41C0" w:rsidRDefault="00CF41C0">
      <w:r>
        <w:br w:type="page"/>
      </w:r>
    </w:p>
    <w:tbl>
      <w:tblPr>
        <w:tblStyle w:val="TableGrid"/>
        <w:tblW w:w="8876" w:type="dxa"/>
        <w:tblInd w:w="0" w:type="dxa"/>
        <w:tblLayout w:type="fixed"/>
        <w:tblLook w:val="01E0" w:firstRow="1" w:lastRow="1" w:firstColumn="1" w:lastColumn="1" w:noHBand="0" w:noVBand="0"/>
      </w:tblPr>
      <w:tblGrid>
        <w:gridCol w:w="4320"/>
        <w:gridCol w:w="236"/>
        <w:gridCol w:w="4320"/>
      </w:tblGrid>
      <w:tr w:rsidR="00CF41C0" w14:paraId="3EC61554" w14:textId="77777777">
        <w:tc>
          <w:tcPr>
            <w:tcW w:w="4320" w:type="dxa"/>
          </w:tcPr>
          <w:p w14:paraId="7FC92F14" w14:textId="77777777" w:rsidR="00CF41C0" w:rsidRDefault="00CF41C0" w:rsidP="00CF41C0">
            <w:pPr>
              <w:rPr>
                <w:b/>
                <w:bCs/>
              </w:rPr>
            </w:pPr>
            <w:r>
              <w:rPr>
                <w:b/>
                <w:bCs/>
              </w:rPr>
              <w:t>Fund other post employment benefits on the “pay as you go” method:</w:t>
            </w:r>
          </w:p>
        </w:tc>
        <w:tc>
          <w:tcPr>
            <w:tcW w:w="236" w:type="dxa"/>
          </w:tcPr>
          <w:p w14:paraId="641FFC4A" w14:textId="77777777" w:rsidR="00CF41C0" w:rsidRDefault="00CF41C0" w:rsidP="00CF41C0"/>
        </w:tc>
        <w:tc>
          <w:tcPr>
            <w:tcW w:w="4320" w:type="dxa"/>
          </w:tcPr>
          <w:p w14:paraId="3A1E7D9F" w14:textId="77777777" w:rsidR="00CF41C0" w:rsidRDefault="00CF41C0" w:rsidP="00CF41C0">
            <w:pPr>
              <w:rPr>
                <w:b/>
                <w:bCs/>
              </w:rPr>
            </w:pPr>
            <w:r>
              <w:rPr>
                <w:b/>
                <w:bCs/>
              </w:rPr>
              <w:t>Fund a trust for future payment of post employment benefits:</w:t>
            </w:r>
          </w:p>
        </w:tc>
      </w:tr>
      <w:tr w:rsidR="00605C69" w14:paraId="1B398851" w14:textId="77777777">
        <w:tc>
          <w:tcPr>
            <w:tcW w:w="4320" w:type="dxa"/>
          </w:tcPr>
          <w:p w14:paraId="502D05D1" w14:textId="77777777" w:rsidR="00605C69" w:rsidRPr="008004B0" w:rsidRDefault="00605C69" w:rsidP="00605C69">
            <w:pPr>
              <w:numPr>
                <w:ilvl w:val="0"/>
                <w:numId w:val="31"/>
              </w:numPr>
            </w:pPr>
            <w:r>
              <w:t>Depending on benefits offered, annual costs to the district for current retirees will probably increase each year.</w:t>
            </w:r>
          </w:p>
          <w:p w14:paraId="6A44F5A5" w14:textId="77777777" w:rsidR="00605C69" w:rsidRDefault="00605C69" w:rsidP="00605C69"/>
        </w:tc>
        <w:tc>
          <w:tcPr>
            <w:tcW w:w="236" w:type="dxa"/>
          </w:tcPr>
          <w:p w14:paraId="7290A928" w14:textId="77777777" w:rsidR="00605C69" w:rsidRDefault="00605C69" w:rsidP="00605C69"/>
        </w:tc>
        <w:tc>
          <w:tcPr>
            <w:tcW w:w="4320" w:type="dxa"/>
          </w:tcPr>
          <w:p w14:paraId="32B66B27" w14:textId="5C33B40A" w:rsidR="00605C69" w:rsidRDefault="00605C69" w:rsidP="00605C69">
            <w:pPr>
              <w:numPr>
                <w:ilvl w:val="0"/>
                <w:numId w:val="33"/>
              </w:numPr>
            </w:pPr>
            <w:r>
              <w:rPr>
                <w:rFonts w:ascii="Times" w:hAnsi="Times" w:cs="Times"/>
              </w:rPr>
              <w:t xml:space="preserve">By establishing </w:t>
            </w:r>
            <w:r w:rsidR="00815225">
              <w:rPr>
                <w:rFonts w:ascii="Times" w:hAnsi="Times" w:cs="Times"/>
              </w:rPr>
              <w:t>a trust and contributing the ADC</w:t>
            </w:r>
            <w:r>
              <w:rPr>
                <w:rFonts w:ascii="Times" w:hAnsi="Times" w:cs="Times"/>
              </w:rPr>
              <w:t xml:space="preserve"> on an annual basis, other post employment benefit costs to the district may be higher in the earlier years but more consistent overall.</w:t>
            </w:r>
          </w:p>
        </w:tc>
      </w:tr>
      <w:tr w:rsidR="00605C69" w14:paraId="5409E887" w14:textId="77777777">
        <w:tc>
          <w:tcPr>
            <w:tcW w:w="4320" w:type="dxa"/>
          </w:tcPr>
          <w:p w14:paraId="092F5A67" w14:textId="77777777" w:rsidR="00605C69" w:rsidRDefault="00605C69" w:rsidP="007D4476">
            <w:pPr>
              <w:numPr>
                <w:ilvl w:val="0"/>
                <w:numId w:val="33"/>
              </w:numPr>
            </w:pPr>
            <w:r>
              <w:rPr>
                <w:rFonts w:ascii="Times" w:hAnsi="Times" w:cs="Times"/>
              </w:rPr>
              <w:t>Current retiree benefits are paid by general operating funds.</w:t>
            </w:r>
          </w:p>
        </w:tc>
        <w:tc>
          <w:tcPr>
            <w:tcW w:w="236" w:type="dxa"/>
          </w:tcPr>
          <w:p w14:paraId="78ABE620" w14:textId="77777777" w:rsidR="00605C69" w:rsidRDefault="00605C69" w:rsidP="00BC48AA"/>
        </w:tc>
        <w:tc>
          <w:tcPr>
            <w:tcW w:w="4320" w:type="dxa"/>
          </w:tcPr>
          <w:p w14:paraId="75A8491E" w14:textId="77777777" w:rsidR="00605C69" w:rsidRPr="002B5C5F" w:rsidRDefault="00605C69" w:rsidP="00B85521">
            <w:pPr>
              <w:numPr>
                <w:ilvl w:val="0"/>
                <w:numId w:val="35"/>
              </w:numPr>
              <w:rPr>
                <w:rFonts w:ascii="Times" w:hAnsi="Times" w:cs="Times"/>
              </w:rPr>
            </w:pPr>
            <w:r>
              <w:rPr>
                <w:rFonts w:ascii="Times" w:hAnsi="Times" w:cs="Times"/>
              </w:rPr>
              <w:t>Once a trust is established, current retiree benefits are paid from the trust.</w:t>
            </w:r>
          </w:p>
        </w:tc>
      </w:tr>
      <w:tr w:rsidR="00605C69" w14:paraId="407ED656" w14:textId="77777777">
        <w:tc>
          <w:tcPr>
            <w:tcW w:w="4320" w:type="dxa"/>
          </w:tcPr>
          <w:p w14:paraId="1B2A5AC9" w14:textId="77777777" w:rsidR="00605C69" w:rsidRDefault="00605C69" w:rsidP="00BC48AA"/>
        </w:tc>
        <w:tc>
          <w:tcPr>
            <w:tcW w:w="236" w:type="dxa"/>
          </w:tcPr>
          <w:p w14:paraId="42E99F65" w14:textId="77777777" w:rsidR="00605C69" w:rsidRDefault="00605C69" w:rsidP="00BC48AA"/>
        </w:tc>
        <w:tc>
          <w:tcPr>
            <w:tcW w:w="4320" w:type="dxa"/>
          </w:tcPr>
          <w:p w14:paraId="1794BF62" w14:textId="77777777" w:rsidR="00605C69" w:rsidRDefault="00605C69" w:rsidP="00BC48AA">
            <w:pPr>
              <w:numPr>
                <w:ilvl w:val="0"/>
                <w:numId w:val="37"/>
              </w:numPr>
              <w:rPr>
                <w:rFonts w:ascii="Times" w:hAnsi="Times" w:cs="Times"/>
              </w:rPr>
            </w:pPr>
            <w:r>
              <w:rPr>
                <w:rFonts w:ascii="Times" w:hAnsi="Times" w:cs="Times"/>
              </w:rPr>
              <w:t>A legally established irrevocable trust must be established</w:t>
            </w:r>
          </w:p>
        </w:tc>
      </w:tr>
      <w:tr w:rsidR="00605C69" w14:paraId="145CA01A" w14:textId="77777777">
        <w:tc>
          <w:tcPr>
            <w:tcW w:w="4320" w:type="dxa"/>
          </w:tcPr>
          <w:p w14:paraId="5CF182DF" w14:textId="77777777" w:rsidR="00605C69" w:rsidRDefault="00605C69" w:rsidP="00BC48AA"/>
        </w:tc>
        <w:tc>
          <w:tcPr>
            <w:tcW w:w="236" w:type="dxa"/>
          </w:tcPr>
          <w:p w14:paraId="383698DA" w14:textId="77777777" w:rsidR="00605C69" w:rsidRDefault="00605C69" w:rsidP="00BC48AA"/>
        </w:tc>
        <w:tc>
          <w:tcPr>
            <w:tcW w:w="4320" w:type="dxa"/>
          </w:tcPr>
          <w:p w14:paraId="2192B5FE" w14:textId="6E88CB4C" w:rsidR="00605C69" w:rsidRPr="00B85521" w:rsidRDefault="00605C69" w:rsidP="00815225">
            <w:pPr>
              <w:numPr>
                <w:ilvl w:val="0"/>
                <w:numId w:val="37"/>
              </w:numPr>
              <w:rPr>
                <w:rFonts w:ascii="Times" w:hAnsi="Times" w:cs="Times"/>
              </w:rPr>
            </w:pPr>
            <w:r>
              <w:rPr>
                <w:rFonts w:ascii="Times" w:hAnsi="Times" w:cs="Times"/>
              </w:rPr>
              <w:t>Setting up a trust requires additional reporting requirements.  GASB Statement 43</w:t>
            </w:r>
            <w:r w:rsidR="00815225">
              <w:rPr>
                <w:rFonts w:ascii="Times" w:hAnsi="Times" w:cs="Times"/>
              </w:rPr>
              <w:t xml:space="preserve">/74 </w:t>
            </w:r>
            <w:r>
              <w:rPr>
                <w:rFonts w:ascii="Times" w:hAnsi="Times" w:cs="Times"/>
              </w:rPr>
              <w:t>will impact a district’s financial statements when a trust is set up.  Also, additional reporting at the annual meeting (common or union high school district) or public budget hearing (unified school district) of the district is required.</w:t>
            </w:r>
          </w:p>
        </w:tc>
      </w:tr>
      <w:tr w:rsidR="00605C69" w14:paraId="64990121" w14:textId="77777777">
        <w:tc>
          <w:tcPr>
            <w:tcW w:w="4320" w:type="dxa"/>
          </w:tcPr>
          <w:p w14:paraId="4076BC38" w14:textId="77777777" w:rsidR="00605C69" w:rsidRDefault="00605C69" w:rsidP="00BC48AA"/>
        </w:tc>
        <w:tc>
          <w:tcPr>
            <w:tcW w:w="236" w:type="dxa"/>
          </w:tcPr>
          <w:p w14:paraId="261F81B8" w14:textId="77777777" w:rsidR="00605C69" w:rsidRDefault="00605C69" w:rsidP="00BC48AA"/>
        </w:tc>
        <w:tc>
          <w:tcPr>
            <w:tcW w:w="4320" w:type="dxa"/>
          </w:tcPr>
          <w:p w14:paraId="21C02D5D" w14:textId="77777777" w:rsidR="00605C69" w:rsidRPr="00463B9A" w:rsidRDefault="00605C69" w:rsidP="00463B9A">
            <w:pPr>
              <w:numPr>
                <w:ilvl w:val="0"/>
                <w:numId w:val="39"/>
              </w:numPr>
              <w:rPr>
                <w:rFonts w:ascii="Times" w:hAnsi="Times" w:cs="Times"/>
              </w:rPr>
            </w:pPr>
            <w:r w:rsidRPr="000A3114">
              <w:rPr>
                <w:rFonts w:ascii="Times" w:hAnsi="Times" w:cs="Times"/>
              </w:rPr>
              <w:t>Assets</w:t>
            </w:r>
            <w:r>
              <w:rPr>
                <w:rFonts w:ascii="Times" w:hAnsi="Times" w:cs="Times"/>
              </w:rPr>
              <w:t xml:space="preserve"> must be segregated (separate cash/investment account) and may only be used to pay the benefits.</w:t>
            </w:r>
          </w:p>
        </w:tc>
      </w:tr>
      <w:tr w:rsidR="00605C69" w14:paraId="6F6FE561" w14:textId="77777777">
        <w:tc>
          <w:tcPr>
            <w:tcW w:w="4320" w:type="dxa"/>
          </w:tcPr>
          <w:p w14:paraId="5CCD3F9B" w14:textId="77777777" w:rsidR="00605C69" w:rsidRDefault="00605C69" w:rsidP="00BC48AA"/>
        </w:tc>
        <w:tc>
          <w:tcPr>
            <w:tcW w:w="236" w:type="dxa"/>
          </w:tcPr>
          <w:p w14:paraId="490DF75F" w14:textId="77777777" w:rsidR="00605C69" w:rsidRDefault="00605C69" w:rsidP="00BC48AA"/>
        </w:tc>
        <w:tc>
          <w:tcPr>
            <w:tcW w:w="4320" w:type="dxa"/>
          </w:tcPr>
          <w:p w14:paraId="37D7DE17" w14:textId="77777777" w:rsidR="00605C69" w:rsidRPr="00B85521" w:rsidRDefault="00605C69" w:rsidP="00BC48AA">
            <w:pPr>
              <w:numPr>
                <w:ilvl w:val="0"/>
                <w:numId w:val="41"/>
              </w:numPr>
              <w:rPr>
                <w:rFonts w:ascii="Times" w:hAnsi="Times" w:cs="Times"/>
              </w:rPr>
            </w:pPr>
            <w:r>
              <w:rPr>
                <w:rFonts w:ascii="Times" w:hAnsi="Times" w:cs="Times"/>
              </w:rPr>
              <w:t>By contributing funds to a trust, employees are provided with the security that funds will be available to them at retirement.</w:t>
            </w:r>
          </w:p>
        </w:tc>
      </w:tr>
    </w:tbl>
    <w:p w14:paraId="32BFAFF4" w14:textId="77777777" w:rsidR="006D0988" w:rsidRDefault="006D0988" w:rsidP="00BC48AA"/>
    <w:p w14:paraId="7ECDE4E6" w14:textId="77777777" w:rsidR="004C652D" w:rsidRPr="004C652D" w:rsidRDefault="004C652D" w:rsidP="004C652D">
      <w:pPr>
        <w:pStyle w:val="NormalWeb1"/>
        <w:rPr>
          <w:rFonts w:ascii="Times New Roman" w:hAnsi="Times New Roman"/>
          <w:b/>
          <w:bCs/>
          <w:i/>
          <w:iCs/>
        </w:rPr>
      </w:pPr>
      <w:r w:rsidRPr="004C652D">
        <w:rPr>
          <w:rFonts w:ascii="Times New Roman" w:hAnsi="Times New Roman"/>
          <w:b/>
          <w:bCs/>
          <w:i/>
          <w:iCs/>
        </w:rPr>
        <w:t>Note to school districts/others with fund 73</w:t>
      </w:r>
    </w:p>
    <w:p w14:paraId="3BD353C6" w14:textId="77777777" w:rsidR="004C652D" w:rsidRPr="004C652D" w:rsidRDefault="004C652D" w:rsidP="004C652D">
      <w:pPr>
        <w:pStyle w:val="NormalWeb1"/>
        <w:rPr>
          <w:rFonts w:ascii="Times New Roman" w:hAnsi="Times New Roman"/>
        </w:rPr>
      </w:pPr>
      <w:r w:rsidRPr="004C652D">
        <w:rPr>
          <w:rFonts w:ascii="Times New Roman" w:hAnsi="Times New Roman"/>
        </w:rPr>
        <w:t>Many decisions are required during the establishment of an employee benefit trust fund (fund 73).  These decisions are the sole responsibility of the school district.   DPI does not make a determination regarding legality or risks associated with the trust including investments and debt.  DPI does provide guidance on how to account for the activity for filing DPI required reports and determination of district aid eligibility.</w:t>
      </w:r>
    </w:p>
    <w:p w14:paraId="3541B576" w14:textId="77777777" w:rsidR="00C572FC" w:rsidRDefault="00C572FC" w:rsidP="005D4E9A">
      <w:pPr>
        <w:rPr>
          <w:b/>
          <w:bCs/>
        </w:rPr>
      </w:pPr>
    </w:p>
    <w:sectPr w:rsidR="00C572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4545"/>
    <w:multiLevelType w:val="hybridMultilevel"/>
    <w:tmpl w:val="49442CCE"/>
    <w:lvl w:ilvl="0" w:tplc="0598EB02">
      <w:start w:val="1"/>
      <w:numFmt w:val="bullet"/>
      <w:lvlText w:val=""/>
      <w:lvlJc w:val="left"/>
      <w:pPr>
        <w:tabs>
          <w:tab w:val="num" w:pos="840"/>
        </w:tabs>
        <w:ind w:left="840" w:hanging="360"/>
      </w:pPr>
      <w:rPr>
        <w:rFonts w:ascii="Wingdings" w:hAnsi="Wingdings" w:cs="Wingdings"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1" w15:restartNumberingAfterBreak="0">
    <w:nsid w:val="09C92413"/>
    <w:multiLevelType w:val="hybridMultilevel"/>
    <w:tmpl w:val="31889E40"/>
    <w:lvl w:ilvl="0" w:tplc="9C3C3176">
      <w:start w:val="1"/>
      <w:numFmt w:val="bullet"/>
      <w:lvlText w:val=""/>
      <w:lvlJc w:val="left"/>
      <w:pPr>
        <w:tabs>
          <w:tab w:val="num" w:pos="360"/>
        </w:tabs>
        <w:ind w:left="360" w:firstLine="12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B4C0EC1"/>
    <w:multiLevelType w:val="hybridMultilevel"/>
    <w:tmpl w:val="8FC86D52"/>
    <w:lvl w:ilvl="0" w:tplc="9C3C3176">
      <w:start w:val="1"/>
      <w:numFmt w:val="bullet"/>
      <w:lvlText w:val=""/>
      <w:lvlJc w:val="left"/>
      <w:pPr>
        <w:tabs>
          <w:tab w:val="num" w:pos="360"/>
        </w:tabs>
        <w:ind w:left="360" w:firstLine="120"/>
      </w:pPr>
      <w:rPr>
        <w:rFonts w:ascii="Wingdings" w:hAnsi="Wingdings" w:cs="Wingdings"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3" w15:restartNumberingAfterBreak="0">
    <w:nsid w:val="0B696244"/>
    <w:multiLevelType w:val="multilevel"/>
    <w:tmpl w:val="148E0DA0"/>
    <w:lvl w:ilvl="0">
      <w:start w:val="1"/>
      <w:numFmt w:val="bullet"/>
      <w:lvlText w:val=""/>
      <w:lvlJc w:val="left"/>
      <w:pPr>
        <w:tabs>
          <w:tab w:val="num" w:pos="840"/>
        </w:tabs>
        <w:ind w:left="840" w:hanging="360"/>
      </w:pPr>
      <w:rPr>
        <w:rFonts w:ascii="Wingdings" w:hAnsi="Wingdings" w:cs="Wingdings"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4" w15:restartNumberingAfterBreak="0">
    <w:nsid w:val="0B7F2D34"/>
    <w:multiLevelType w:val="multilevel"/>
    <w:tmpl w:val="226CD30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BE1793F"/>
    <w:multiLevelType w:val="multilevel"/>
    <w:tmpl w:val="226CD30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C08538E"/>
    <w:multiLevelType w:val="hybridMultilevel"/>
    <w:tmpl w:val="6E5E6D8E"/>
    <w:lvl w:ilvl="0" w:tplc="41BAC956">
      <w:start w:val="1"/>
      <w:numFmt w:val="bullet"/>
      <w:lvlText w:val=""/>
      <w:lvlJc w:val="left"/>
      <w:pPr>
        <w:tabs>
          <w:tab w:val="num" w:pos="360"/>
        </w:tabs>
        <w:ind w:left="720" w:hanging="240"/>
      </w:pPr>
      <w:rPr>
        <w:rFonts w:ascii="Wingdings" w:hAnsi="Wingdings" w:cs="Wingdings"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7" w15:restartNumberingAfterBreak="0">
    <w:nsid w:val="0E132260"/>
    <w:multiLevelType w:val="hybridMultilevel"/>
    <w:tmpl w:val="CF4AD4F8"/>
    <w:lvl w:ilvl="0" w:tplc="9C3C3176">
      <w:start w:val="1"/>
      <w:numFmt w:val="bullet"/>
      <w:lvlText w:val=""/>
      <w:lvlJc w:val="left"/>
      <w:pPr>
        <w:tabs>
          <w:tab w:val="num" w:pos="360"/>
        </w:tabs>
        <w:ind w:left="360" w:firstLine="12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EE10EF4"/>
    <w:multiLevelType w:val="multilevel"/>
    <w:tmpl w:val="01764F8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6752ED4"/>
    <w:multiLevelType w:val="hybridMultilevel"/>
    <w:tmpl w:val="86BC41B2"/>
    <w:lvl w:ilvl="0" w:tplc="9C3C3176">
      <w:start w:val="1"/>
      <w:numFmt w:val="bullet"/>
      <w:lvlText w:val=""/>
      <w:lvlJc w:val="left"/>
      <w:pPr>
        <w:tabs>
          <w:tab w:val="num" w:pos="360"/>
        </w:tabs>
        <w:ind w:left="360" w:firstLine="120"/>
      </w:pPr>
      <w:rPr>
        <w:rFonts w:ascii="Wingdings" w:hAnsi="Wingdings" w:cs="Wingdings"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10" w15:restartNumberingAfterBreak="0">
    <w:nsid w:val="168B13D4"/>
    <w:multiLevelType w:val="multilevel"/>
    <w:tmpl w:val="9D0A217A"/>
    <w:lvl w:ilvl="0">
      <w:start w:val="1"/>
      <w:numFmt w:val="bullet"/>
      <w:lvlText w:val=""/>
      <w:lvlJc w:val="left"/>
      <w:pPr>
        <w:tabs>
          <w:tab w:val="num" w:pos="720"/>
        </w:tabs>
        <w:ind w:left="720" w:hanging="240"/>
      </w:pPr>
      <w:rPr>
        <w:rFonts w:ascii="Wingdings" w:hAnsi="Wingdings" w:cs="Wingdings"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11" w15:restartNumberingAfterBreak="0">
    <w:nsid w:val="182B654E"/>
    <w:multiLevelType w:val="multilevel"/>
    <w:tmpl w:val="226CD30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291413B"/>
    <w:multiLevelType w:val="multilevel"/>
    <w:tmpl w:val="148E0DA0"/>
    <w:lvl w:ilvl="0">
      <w:start w:val="1"/>
      <w:numFmt w:val="bullet"/>
      <w:lvlText w:val=""/>
      <w:lvlJc w:val="left"/>
      <w:pPr>
        <w:tabs>
          <w:tab w:val="num" w:pos="840"/>
        </w:tabs>
        <w:ind w:left="840" w:hanging="360"/>
      </w:pPr>
      <w:rPr>
        <w:rFonts w:ascii="Wingdings" w:hAnsi="Wingdings" w:cs="Wingdings"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13" w15:restartNumberingAfterBreak="0">
    <w:nsid w:val="22F01310"/>
    <w:multiLevelType w:val="multilevel"/>
    <w:tmpl w:val="226CD30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7E003EE"/>
    <w:multiLevelType w:val="multilevel"/>
    <w:tmpl w:val="148E0DA0"/>
    <w:lvl w:ilvl="0">
      <w:start w:val="1"/>
      <w:numFmt w:val="bullet"/>
      <w:lvlText w:val=""/>
      <w:lvlJc w:val="left"/>
      <w:pPr>
        <w:tabs>
          <w:tab w:val="num" w:pos="840"/>
        </w:tabs>
        <w:ind w:left="840" w:hanging="360"/>
      </w:pPr>
      <w:rPr>
        <w:rFonts w:ascii="Wingdings" w:hAnsi="Wingdings" w:cs="Wingdings"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15" w15:restartNumberingAfterBreak="0">
    <w:nsid w:val="28FE6478"/>
    <w:multiLevelType w:val="multilevel"/>
    <w:tmpl w:val="226CD30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BFD336E"/>
    <w:multiLevelType w:val="multilevel"/>
    <w:tmpl w:val="226CD30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C363D73"/>
    <w:multiLevelType w:val="hybridMultilevel"/>
    <w:tmpl w:val="411C5000"/>
    <w:lvl w:ilvl="0" w:tplc="9C3C3176">
      <w:start w:val="1"/>
      <w:numFmt w:val="bullet"/>
      <w:lvlText w:val=""/>
      <w:lvlJc w:val="left"/>
      <w:pPr>
        <w:tabs>
          <w:tab w:val="num" w:pos="360"/>
        </w:tabs>
        <w:ind w:left="360" w:firstLine="120"/>
      </w:pPr>
      <w:rPr>
        <w:rFonts w:ascii="Wingdings" w:hAnsi="Wingdings" w:cs="Wingdings"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18" w15:restartNumberingAfterBreak="0">
    <w:nsid w:val="36830EA2"/>
    <w:multiLevelType w:val="multilevel"/>
    <w:tmpl w:val="96EEC8B4"/>
    <w:lvl w:ilvl="0">
      <w:start w:val="1"/>
      <w:numFmt w:val="bullet"/>
      <w:lvlText w:val=""/>
      <w:lvlJc w:val="left"/>
      <w:pPr>
        <w:tabs>
          <w:tab w:val="num" w:pos="360"/>
        </w:tabs>
        <w:ind w:left="360" w:firstLine="120"/>
      </w:pPr>
      <w:rPr>
        <w:rFonts w:ascii="Wingdings" w:hAnsi="Wingdings" w:cs="Wingdings"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19" w15:restartNumberingAfterBreak="0">
    <w:nsid w:val="39B62A16"/>
    <w:multiLevelType w:val="hybridMultilevel"/>
    <w:tmpl w:val="98A0C26E"/>
    <w:lvl w:ilvl="0" w:tplc="9C3C3176">
      <w:start w:val="1"/>
      <w:numFmt w:val="bullet"/>
      <w:lvlText w:val=""/>
      <w:lvlJc w:val="left"/>
      <w:pPr>
        <w:tabs>
          <w:tab w:val="num" w:pos="360"/>
        </w:tabs>
        <w:ind w:left="360" w:firstLine="12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B88080E"/>
    <w:multiLevelType w:val="multilevel"/>
    <w:tmpl w:val="226CD30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F601138"/>
    <w:multiLevelType w:val="hybridMultilevel"/>
    <w:tmpl w:val="ACE458E2"/>
    <w:lvl w:ilvl="0" w:tplc="9C3C3176">
      <w:start w:val="1"/>
      <w:numFmt w:val="bullet"/>
      <w:lvlText w:val=""/>
      <w:lvlJc w:val="left"/>
      <w:pPr>
        <w:tabs>
          <w:tab w:val="num" w:pos="360"/>
        </w:tabs>
        <w:ind w:left="360" w:firstLine="12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29E5B5C"/>
    <w:multiLevelType w:val="hybridMultilevel"/>
    <w:tmpl w:val="2F0E9764"/>
    <w:lvl w:ilvl="0" w:tplc="9C3C3176">
      <w:start w:val="1"/>
      <w:numFmt w:val="bullet"/>
      <w:lvlText w:val=""/>
      <w:lvlJc w:val="left"/>
      <w:pPr>
        <w:tabs>
          <w:tab w:val="num" w:pos="360"/>
        </w:tabs>
        <w:ind w:left="360" w:firstLine="12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2EC186B"/>
    <w:multiLevelType w:val="hybridMultilevel"/>
    <w:tmpl w:val="F24E64CA"/>
    <w:lvl w:ilvl="0" w:tplc="9C3C3176">
      <w:start w:val="1"/>
      <w:numFmt w:val="bullet"/>
      <w:lvlText w:val=""/>
      <w:lvlJc w:val="left"/>
      <w:pPr>
        <w:tabs>
          <w:tab w:val="num" w:pos="360"/>
        </w:tabs>
        <w:ind w:left="360" w:firstLine="12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7E5577C"/>
    <w:multiLevelType w:val="hybridMultilevel"/>
    <w:tmpl w:val="226CD30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8CD2F57"/>
    <w:multiLevelType w:val="hybridMultilevel"/>
    <w:tmpl w:val="BD9CB4A6"/>
    <w:lvl w:ilvl="0" w:tplc="9C3C3176">
      <w:start w:val="1"/>
      <w:numFmt w:val="bullet"/>
      <w:lvlText w:val=""/>
      <w:lvlJc w:val="left"/>
      <w:pPr>
        <w:tabs>
          <w:tab w:val="num" w:pos="360"/>
        </w:tabs>
        <w:ind w:left="360" w:firstLine="12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B4C5F39"/>
    <w:multiLevelType w:val="hybridMultilevel"/>
    <w:tmpl w:val="9D0A217A"/>
    <w:lvl w:ilvl="0" w:tplc="F80A2124">
      <w:start w:val="1"/>
      <w:numFmt w:val="bullet"/>
      <w:lvlText w:val=""/>
      <w:lvlJc w:val="left"/>
      <w:pPr>
        <w:tabs>
          <w:tab w:val="num" w:pos="720"/>
        </w:tabs>
        <w:ind w:left="720" w:hanging="240"/>
      </w:pPr>
      <w:rPr>
        <w:rFonts w:ascii="Wingdings" w:hAnsi="Wingdings" w:cs="Wingdings"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27" w15:restartNumberingAfterBreak="0">
    <w:nsid w:val="4D155CF6"/>
    <w:multiLevelType w:val="hybridMultilevel"/>
    <w:tmpl w:val="06040126"/>
    <w:lvl w:ilvl="0" w:tplc="9C3C3176">
      <w:start w:val="1"/>
      <w:numFmt w:val="bullet"/>
      <w:lvlText w:val=""/>
      <w:lvlJc w:val="left"/>
      <w:pPr>
        <w:tabs>
          <w:tab w:val="num" w:pos="360"/>
        </w:tabs>
        <w:ind w:left="360" w:firstLine="12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02F4F93"/>
    <w:multiLevelType w:val="hybridMultilevel"/>
    <w:tmpl w:val="3142FA98"/>
    <w:lvl w:ilvl="0" w:tplc="9C3C3176">
      <w:start w:val="1"/>
      <w:numFmt w:val="bullet"/>
      <w:lvlText w:val=""/>
      <w:lvlJc w:val="left"/>
      <w:pPr>
        <w:tabs>
          <w:tab w:val="num" w:pos="360"/>
        </w:tabs>
        <w:ind w:left="360" w:firstLine="12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44644DA"/>
    <w:multiLevelType w:val="hybridMultilevel"/>
    <w:tmpl w:val="49C8DC9C"/>
    <w:lvl w:ilvl="0" w:tplc="3876685C">
      <w:start w:val="1"/>
      <w:numFmt w:val="bullet"/>
      <w:lvlText w:val=""/>
      <w:lvlJc w:val="left"/>
      <w:pPr>
        <w:tabs>
          <w:tab w:val="num" w:pos="360"/>
        </w:tabs>
        <w:ind w:left="720" w:hanging="24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4E524EE"/>
    <w:multiLevelType w:val="multilevel"/>
    <w:tmpl w:val="411C5000"/>
    <w:lvl w:ilvl="0">
      <w:start w:val="1"/>
      <w:numFmt w:val="bullet"/>
      <w:lvlText w:val=""/>
      <w:lvlJc w:val="left"/>
      <w:pPr>
        <w:tabs>
          <w:tab w:val="num" w:pos="360"/>
        </w:tabs>
        <w:ind w:left="360" w:firstLine="120"/>
      </w:pPr>
      <w:rPr>
        <w:rFonts w:ascii="Wingdings" w:hAnsi="Wingdings" w:cs="Wingdings"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31" w15:restartNumberingAfterBreak="0">
    <w:nsid w:val="5F5469A4"/>
    <w:multiLevelType w:val="hybridMultilevel"/>
    <w:tmpl w:val="1B607D40"/>
    <w:lvl w:ilvl="0" w:tplc="D91A7B70">
      <w:start w:val="1"/>
      <w:numFmt w:val="bullet"/>
      <w:lvlText w:val=""/>
      <w:lvlJc w:val="left"/>
      <w:pPr>
        <w:tabs>
          <w:tab w:val="num" w:pos="1080"/>
        </w:tabs>
        <w:ind w:left="1080" w:hanging="72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5541A1F"/>
    <w:multiLevelType w:val="multilevel"/>
    <w:tmpl w:val="226CD30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7C37457"/>
    <w:multiLevelType w:val="multilevel"/>
    <w:tmpl w:val="148E0DA0"/>
    <w:lvl w:ilvl="0">
      <w:start w:val="1"/>
      <w:numFmt w:val="bullet"/>
      <w:lvlText w:val=""/>
      <w:lvlJc w:val="left"/>
      <w:pPr>
        <w:tabs>
          <w:tab w:val="num" w:pos="840"/>
        </w:tabs>
        <w:ind w:left="840" w:hanging="360"/>
      </w:pPr>
      <w:rPr>
        <w:rFonts w:ascii="Wingdings" w:hAnsi="Wingdings" w:cs="Wingdings"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34" w15:restartNumberingAfterBreak="0">
    <w:nsid w:val="680B47DC"/>
    <w:multiLevelType w:val="hybridMultilevel"/>
    <w:tmpl w:val="148E0DA0"/>
    <w:lvl w:ilvl="0" w:tplc="04090005">
      <w:start w:val="1"/>
      <w:numFmt w:val="bullet"/>
      <w:lvlText w:val=""/>
      <w:lvlJc w:val="left"/>
      <w:pPr>
        <w:tabs>
          <w:tab w:val="num" w:pos="840"/>
        </w:tabs>
        <w:ind w:left="840" w:hanging="360"/>
      </w:pPr>
      <w:rPr>
        <w:rFonts w:ascii="Wingdings" w:hAnsi="Wingdings" w:cs="Wingdings"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35" w15:restartNumberingAfterBreak="0">
    <w:nsid w:val="689728B7"/>
    <w:multiLevelType w:val="hybridMultilevel"/>
    <w:tmpl w:val="44A4B46C"/>
    <w:lvl w:ilvl="0" w:tplc="9C3C3176">
      <w:start w:val="1"/>
      <w:numFmt w:val="bullet"/>
      <w:lvlText w:val=""/>
      <w:lvlJc w:val="left"/>
      <w:pPr>
        <w:tabs>
          <w:tab w:val="num" w:pos="360"/>
        </w:tabs>
        <w:ind w:left="360" w:firstLine="120"/>
      </w:pPr>
      <w:rPr>
        <w:rFonts w:ascii="Wingdings" w:hAnsi="Wingdings" w:cs="Wingdings"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36" w15:restartNumberingAfterBreak="0">
    <w:nsid w:val="69025110"/>
    <w:multiLevelType w:val="hybridMultilevel"/>
    <w:tmpl w:val="39C0D718"/>
    <w:lvl w:ilvl="0" w:tplc="A4165D12">
      <w:start w:val="1"/>
      <w:numFmt w:val="bullet"/>
      <w:lvlText w:val=""/>
      <w:lvlJc w:val="left"/>
      <w:pPr>
        <w:tabs>
          <w:tab w:val="num" w:pos="360"/>
        </w:tabs>
        <w:ind w:left="360" w:firstLine="120"/>
      </w:pPr>
      <w:rPr>
        <w:rFonts w:ascii="Wingdings" w:hAnsi="Wingdings" w:cs="Wingdings"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37" w15:restartNumberingAfterBreak="0">
    <w:nsid w:val="6A99345C"/>
    <w:multiLevelType w:val="multilevel"/>
    <w:tmpl w:val="226CD30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D0A680B"/>
    <w:multiLevelType w:val="hybridMultilevel"/>
    <w:tmpl w:val="96EEC8B4"/>
    <w:lvl w:ilvl="0" w:tplc="BCA204AA">
      <w:start w:val="1"/>
      <w:numFmt w:val="bullet"/>
      <w:lvlText w:val=""/>
      <w:lvlJc w:val="left"/>
      <w:pPr>
        <w:tabs>
          <w:tab w:val="num" w:pos="360"/>
        </w:tabs>
        <w:ind w:left="360" w:firstLine="120"/>
      </w:pPr>
      <w:rPr>
        <w:rFonts w:ascii="Wingdings" w:hAnsi="Wingdings" w:cs="Wingdings"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39" w15:restartNumberingAfterBreak="0">
    <w:nsid w:val="6ED24501"/>
    <w:multiLevelType w:val="hybridMultilevel"/>
    <w:tmpl w:val="01764F88"/>
    <w:lvl w:ilvl="0" w:tplc="A10CF208">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6F334E51"/>
    <w:multiLevelType w:val="multilevel"/>
    <w:tmpl w:val="49442CCE"/>
    <w:lvl w:ilvl="0">
      <w:start w:val="1"/>
      <w:numFmt w:val="bullet"/>
      <w:lvlText w:val=""/>
      <w:lvlJc w:val="left"/>
      <w:pPr>
        <w:tabs>
          <w:tab w:val="num" w:pos="840"/>
        </w:tabs>
        <w:ind w:left="840" w:hanging="360"/>
      </w:pPr>
      <w:rPr>
        <w:rFonts w:ascii="Wingdings" w:hAnsi="Wingdings" w:cs="Wingdings"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41" w15:restartNumberingAfterBreak="0">
    <w:nsid w:val="74CA4BEC"/>
    <w:multiLevelType w:val="hybridMultilevel"/>
    <w:tmpl w:val="CBDA07A0"/>
    <w:lvl w:ilvl="0" w:tplc="9C3C3176">
      <w:start w:val="1"/>
      <w:numFmt w:val="bullet"/>
      <w:lvlText w:val=""/>
      <w:lvlJc w:val="left"/>
      <w:pPr>
        <w:tabs>
          <w:tab w:val="num" w:pos="360"/>
        </w:tabs>
        <w:ind w:left="360" w:firstLine="12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7F076A0"/>
    <w:multiLevelType w:val="multilevel"/>
    <w:tmpl w:val="49C8DC9C"/>
    <w:lvl w:ilvl="0">
      <w:start w:val="1"/>
      <w:numFmt w:val="bullet"/>
      <w:lvlText w:val=""/>
      <w:lvlJc w:val="left"/>
      <w:pPr>
        <w:tabs>
          <w:tab w:val="num" w:pos="360"/>
        </w:tabs>
        <w:ind w:left="720" w:hanging="24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78E960E1"/>
    <w:multiLevelType w:val="multilevel"/>
    <w:tmpl w:val="6E5E6D8E"/>
    <w:lvl w:ilvl="0">
      <w:start w:val="1"/>
      <w:numFmt w:val="bullet"/>
      <w:lvlText w:val=""/>
      <w:lvlJc w:val="left"/>
      <w:pPr>
        <w:tabs>
          <w:tab w:val="num" w:pos="360"/>
        </w:tabs>
        <w:ind w:left="720" w:hanging="240"/>
      </w:pPr>
      <w:rPr>
        <w:rFonts w:ascii="Wingdings" w:hAnsi="Wingdings" w:cs="Wingdings"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44" w15:restartNumberingAfterBreak="0">
    <w:nsid w:val="7B082FE5"/>
    <w:multiLevelType w:val="multilevel"/>
    <w:tmpl w:val="226CD30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1"/>
  </w:num>
  <w:num w:numId="2">
    <w:abstractNumId w:val="24"/>
  </w:num>
  <w:num w:numId="3">
    <w:abstractNumId w:val="34"/>
  </w:num>
  <w:num w:numId="4">
    <w:abstractNumId w:val="14"/>
  </w:num>
  <w:num w:numId="5">
    <w:abstractNumId w:val="0"/>
  </w:num>
  <w:num w:numId="6">
    <w:abstractNumId w:val="37"/>
  </w:num>
  <w:num w:numId="7">
    <w:abstractNumId w:val="39"/>
  </w:num>
  <w:num w:numId="8">
    <w:abstractNumId w:val="40"/>
  </w:num>
  <w:num w:numId="9">
    <w:abstractNumId w:val="26"/>
  </w:num>
  <w:num w:numId="10">
    <w:abstractNumId w:val="10"/>
  </w:num>
  <w:num w:numId="11">
    <w:abstractNumId w:val="38"/>
  </w:num>
  <w:num w:numId="12">
    <w:abstractNumId w:val="8"/>
  </w:num>
  <w:num w:numId="13">
    <w:abstractNumId w:val="29"/>
  </w:num>
  <w:num w:numId="14">
    <w:abstractNumId w:val="18"/>
  </w:num>
  <w:num w:numId="15">
    <w:abstractNumId w:val="6"/>
  </w:num>
  <w:num w:numId="16">
    <w:abstractNumId w:val="43"/>
  </w:num>
  <w:num w:numId="17">
    <w:abstractNumId w:val="36"/>
  </w:num>
  <w:num w:numId="18">
    <w:abstractNumId w:val="42"/>
  </w:num>
  <w:num w:numId="19">
    <w:abstractNumId w:val="19"/>
  </w:num>
  <w:num w:numId="20">
    <w:abstractNumId w:val="3"/>
  </w:num>
  <w:num w:numId="21">
    <w:abstractNumId w:val="9"/>
  </w:num>
  <w:num w:numId="22">
    <w:abstractNumId w:val="4"/>
  </w:num>
  <w:num w:numId="23">
    <w:abstractNumId w:val="27"/>
  </w:num>
  <w:num w:numId="24">
    <w:abstractNumId w:val="12"/>
  </w:num>
  <w:num w:numId="25">
    <w:abstractNumId w:val="17"/>
  </w:num>
  <w:num w:numId="26">
    <w:abstractNumId w:val="30"/>
  </w:num>
  <w:num w:numId="27">
    <w:abstractNumId w:val="35"/>
  </w:num>
  <w:num w:numId="28">
    <w:abstractNumId w:val="5"/>
  </w:num>
  <w:num w:numId="29">
    <w:abstractNumId w:val="25"/>
  </w:num>
  <w:num w:numId="30">
    <w:abstractNumId w:val="33"/>
  </w:num>
  <w:num w:numId="31">
    <w:abstractNumId w:val="2"/>
  </w:num>
  <w:num w:numId="32">
    <w:abstractNumId w:val="32"/>
  </w:num>
  <w:num w:numId="33">
    <w:abstractNumId w:val="28"/>
  </w:num>
  <w:num w:numId="34">
    <w:abstractNumId w:val="11"/>
  </w:num>
  <w:num w:numId="35">
    <w:abstractNumId w:val="21"/>
  </w:num>
  <w:num w:numId="36">
    <w:abstractNumId w:val="44"/>
  </w:num>
  <w:num w:numId="37">
    <w:abstractNumId w:val="7"/>
  </w:num>
  <w:num w:numId="38">
    <w:abstractNumId w:val="20"/>
  </w:num>
  <w:num w:numId="39">
    <w:abstractNumId w:val="23"/>
  </w:num>
  <w:num w:numId="40">
    <w:abstractNumId w:val="15"/>
  </w:num>
  <w:num w:numId="41">
    <w:abstractNumId w:val="1"/>
  </w:num>
  <w:num w:numId="42">
    <w:abstractNumId w:val="13"/>
  </w:num>
  <w:num w:numId="43">
    <w:abstractNumId w:val="41"/>
  </w:num>
  <w:num w:numId="44">
    <w:abstractNumId w:val="16"/>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298"/>
    <w:rsid w:val="00011B40"/>
    <w:rsid w:val="000724AC"/>
    <w:rsid w:val="000753BE"/>
    <w:rsid w:val="000A3114"/>
    <w:rsid w:val="000B6E66"/>
    <w:rsid w:val="000F24B0"/>
    <w:rsid w:val="00130E39"/>
    <w:rsid w:val="00146A43"/>
    <w:rsid w:val="00164A38"/>
    <w:rsid w:val="00174B11"/>
    <w:rsid w:val="0018660B"/>
    <w:rsid w:val="001B240F"/>
    <w:rsid w:val="002056DA"/>
    <w:rsid w:val="002369F2"/>
    <w:rsid w:val="00242D37"/>
    <w:rsid w:val="002466AA"/>
    <w:rsid w:val="00271D21"/>
    <w:rsid w:val="0028146C"/>
    <w:rsid w:val="002A6795"/>
    <w:rsid w:val="002B5C5F"/>
    <w:rsid w:val="002F0498"/>
    <w:rsid w:val="002F0752"/>
    <w:rsid w:val="003A5AAA"/>
    <w:rsid w:val="003C09BB"/>
    <w:rsid w:val="004474A2"/>
    <w:rsid w:val="00457861"/>
    <w:rsid w:val="00463B9A"/>
    <w:rsid w:val="00465115"/>
    <w:rsid w:val="004C2AF9"/>
    <w:rsid w:val="004C652D"/>
    <w:rsid w:val="00514B64"/>
    <w:rsid w:val="0058600F"/>
    <w:rsid w:val="0059171A"/>
    <w:rsid w:val="005A3A9E"/>
    <w:rsid w:val="005D0299"/>
    <w:rsid w:val="005D4E9A"/>
    <w:rsid w:val="005F7BBA"/>
    <w:rsid w:val="00605C69"/>
    <w:rsid w:val="006760C6"/>
    <w:rsid w:val="00693343"/>
    <w:rsid w:val="006D0988"/>
    <w:rsid w:val="006F527F"/>
    <w:rsid w:val="00762745"/>
    <w:rsid w:val="00764950"/>
    <w:rsid w:val="00765828"/>
    <w:rsid w:val="00797F11"/>
    <w:rsid w:val="007D3209"/>
    <w:rsid w:val="007D4476"/>
    <w:rsid w:val="007F6EB6"/>
    <w:rsid w:val="008004B0"/>
    <w:rsid w:val="008020D0"/>
    <w:rsid w:val="00815225"/>
    <w:rsid w:val="008265C3"/>
    <w:rsid w:val="0083611B"/>
    <w:rsid w:val="00846694"/>
    <w:rsid w:val="00851B97"/>
    <w:rsid w:val="0086366E"/>
    <w:rsid w:val="00872639"/>
    <w:rsid w:val="0089230A"/>
    <w:rsid w:val="008B3448"/>
    <w:rsid w:val="00944EDB"/>
    <w:rsid w:val="00967E01"/>
    <w:rsid w:val="009C6310"/>
    <w:rsid w:val="009D5C20"/>
    <w:rsid w:val="009E744F"/>
    <w:rsid w:val="00A36E79"/>
    <w:rsid w:val="00A37A47"/>
    <w:rsid w:val="00B30B1A"/>
    <w:rsid w:val="00B31298"/>
    <w:rsid w:val="00B3158E"/>
    <w:rsid w:val="00B85521"/>
    <w:rsid w:val="00B924EA"/>
    <w:rsid w:val="00B924F3"/>
    <w:rsid w:val="00BC48AA"/>
    <w:rsid w:val="00BE21E0"/>
    <w:rsid w:val="00BE3BC4"/>
    <w:rsid w:val="00C00719"/>
    <w:rsid w:val="00C15865"/>
    <w:rsid w:val="00C16048"/>
    <w:rsid w:val="00C45F13"/>
    <w:rsid w:val="00C53062"/>
    <w:rsid w:val="00C53A3E"/>
    <w:rsid w:val="00C572FC"/>
    <w:rsid w:val="00C72815"/>
    <w:rsid w:val="00CA450A"/>
    <w:rsid w:val="00CF41C0"/>
    <w:rsid w:val="00D47450"/>
    <w:rsid w:val="00E163D5"/>
    <w:rsid w:val="00E81E07"/>
    <w:rsid w:val="00ED09F6"/>
    <w:rsid w:val="00ED395A"/>
    <w:rsid w:val="00EE38A2"/>
    <w:rsid w:val="00EF2F38"/>
    <w:rsid w:val="00F36ADB"/>
    <w:rsid w:val="00F4322A"/>
    <w:rsid w:val="00F734F6"/>
    <w:rsid w:val="00F74A77"/>
    <w:rsid w:val="00F8621F"/>
    <w:rsid w:val="00F942FE"/>
    <w:rsid w:val="00FB0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062DAF8"/>
  <w15:chartTrackingRefBased/>
  <w15:docId w15:val="{9B9F0E42-935E-4B65-B52D-E358C975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E0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862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rsid w:val="004C652D"/>
    <w:pPr>
      <w:spacing w:before="100" w:beforeAutospacing="1" w:after="100" w:afterAutospacing="1"/>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5417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What to do with my OPEB Obligation</vt:lpstr>
    </vt:vector>
  </TitlesOfParts>
  <Company>Department of Public Instruction</Company>
  <LinksUpToDate>false</LinksUpToDate>
  <CharactersWithSpaces>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to do with my OPEB Obligation</dc:title>
  <dc:subject/>
  <dc:creator>GURALKJ</dc:creator>
  <cp:keywords>OPEB</cp:keywords>
  <dc:description/>
  <cp:lastModifiedBy>Fornecker, Eugene   DPI</cp:lastModifiedBy>
  <cp:revision>2</cp:revision>
  <cp:lastPrinted>2007-12-19T15:17:00Z</cp:lastPrinted>
  <dcterms:created xsi:type="dcterms:W3CDTF">2017-06-15T12:34:00Z</dcterms:created>
  <dcterms:modified xsi:type="dcterms:W3CDTF">2017-06-15T12:34:00Z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-2019677352</vt:i4>
  </property>
  <property fmtid="{D5CDD505-2E9C-101B-9397-08002B2CF9AE}" pid="3" name="_EmailSubject">
    <vt:lpwstr>Web update</vt:lpwstr>
  </property>
  <property fmtid="{D5CDD505-2E9C-101B-9397-08002B2CF9AE}" pid="4" name="_AuthorEmail">
    <vt:lpwstr>Kathryn.Guralski@dpi.state.wi.us</vt:lpwstr>
  </property>
  <property fmtid="{D5CDD505-2E9C-101B-9397-08002B2CF9AE}" pid="5" name="_AuthorEmailDisplayName">
    <vt:lpwstr>Guralski, Kathryn J   DPI</vt:lpwstr>
  </property>
  <property fmtid="{D5CDD505-2E9C-101B-9397-08002B2CF9AE}" pid="6" name="_PreviousAdHocReviewCycleID">
    <vt:i4>-112862571</vt:i4>
  </property>
  <property fmtid="{D5CDD505-2E9C-101B-9397-08002B2CF9AE}" pid="7" name="_ReviewingToolsShownOnce">
    <vt:lpwstr/>
  </property>
</Properties>
</file>