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833" w:rsidRPr="00F57405" w:rsidRDefault="00FD0833" w:rsidP="00FD0833">
      <w:pPr>
        <w:rPr>
          <w:b/>
          <w:sz w:val="22"/>
        </w:rPr>
      </w:pPr>
      <w:r w:rsidRPr="00F57405">
        <w:rPr>
          <w:b/>
          <w:sz w:val="22"/>
        </w:rPr>
        <w:t>Optional 2020 Tax Settlement Extension</w:t>
      </w:r>
    </w:p>
    <w:p w:rsidR="00FD0833" w:rsidRPr="00F57405" w:rsidRDefault="00FD0833" w:rsidP="00FD0833">
      <w:pPr>
        <w:rPr>
          <w:sz w:val="22"/>
        </w:rPr>
      </w:pPr>
    </w:p>
    <w:p w:rsidR="00FD0833" w:rsidRPr="00F57405" w:rsidRDefault="00FD0833" w:rsidP="00FD0833">
      <w:pPr>
        <w:rPr>
          <w:sz w:val="22"/>
        </w:rPr>
      </w:pPr>
      <w:r w:rsidRPr="00F57405">
        <w:rPr>
          <w:sz w:val="22"/>
        </w:rPr>
        <w:t xml:space="preserve">A non-statutory provision in the state COVID-19 response bill (2019 Act 185 § 105(25) </w:t>
      </w:r>
      <w:hyperlink r:id="rId5" w:history="1">
        <w:r w:rsidRPr="00F57405">
          <w:rPr>
            <w:rStyle w:val="Hyperlink"/>
            <w:sz w:val="22"/>
          </w:rPr>
          <w:t>https://docs.legis.wisconsin.gov/2019/related/acts/185/105</w:t>
        </w:r>
      </w:hyperlink>
      <w:r w:rsidRPr="00F57405">
        <w:rPr>
          <w:sz w:val="22"/>
        </w:rPr>
        <w:t xml:space="preserve"> ) gives counties the option of waiving penalties for late 2020 property tax payments through October 1, 2020. If a county board adopts a resolution to do so, the August 20 tax settlement will include taxes collected through the end of July, and then a new final tax settlement will occur on September 20. Barring another change in law, this is a one-time provision in effect for calendar year 2020 only. The statutory August 20 final settlement date would resume in 2021. </w:t>
      </w:r>
    </w:p>
    <w:p w:rsidR="00245247" w:rsidRPr="00F57405" w:rsidRDefault="00245247" w:rsidP="00FD0833">
      <w:pPr>
        <w:rPr>
          <w:sz w:val="22"/>
        </w:rPr>
      </w:pPr>
    </w:p>
    <w:p w:rsidR="00657924" w:rsidRPr="00F57405" w:rsidRDefault="000378C7" w:rsidP="00403C24">
      <w:pPr>
        <w:rPr>
          <w:color w:val="auto"/>
          <w:sz w:val="22"/>
        </w:rPr>
      </w:pPr>
      <w:r w:rsidRPr="00F57405">
        <w:rPr>
          <w:sz w:val="22"/>
        </w:rPr>
        <w:t>Under the modified accrual basis of account</w:t>
      </w:r>
      <w:r w:rsidR="00657924" w:rsidRPr="00F57405">
        <w:rPr>
          <w:sz w:val="22"/>
        </w:rPr>
        <w:t>ing used for governmental funds</w:t>
      </w:r>
      <w:r w:rsidRPr="00F57405">
        <w:rPr>
          <w:sz w:val="22"/>
        </w:rPr>
        <w:t>, property tax revenue is recognized in the period for which the taxes are levied and when available</w:t>
      </w:r>
      <w:r w:rsidR="00657924" w:rsidRPr="00F57405">
        <w:rPr>
          <w:sz w:val="22"/>
        </w:rPr>
        <w:t>.</w:t>
      </w:r>
      <w:r w:rsidRPr="00F57405">
        <w:rPr>
          <w:sz w:val="22"/>
        </w:rPr>
        <w:t xml:space="preserve"> </w:t>
      </w:r>
      <w:r w:rsidR="00176A39" w:rsidRPr="00F57405">
        <w:rPr>
          <w:sz w:val="22"/>
        </w:rPr>
        <w:t xml:space="preserve">Paragraph 4 of GASB Interpretation 5 and Paragraph 8 of NCGA Interpretation 3, as amended define </w:t>
      </w:r>
      <w:r w:rsidR="00657924" w:rsidRPr="00F57405">
        <w:rPr>
          <w:iCs/>
          <w:sz w:val="22"/>
        </w:rPr>
        <w:t>a</w:t>
      </w:r>
      <w:r w:rsidR="00176A39" w:rsidRPr="00F57405">
        <w:rPr>
          <w:iCs/>
          <w:sz w:val="22"/>
        </w:rPr>
        <w:t>vailable</w:t>
      </w:r>
      <w:r w:rsidR="00176A39" w:rsidRPr="00F57405">
        <w:rPr>
          <w:i/>
          <w:iCs/>
          <w:sz w:val="22"/>
        </w:rPr>
        <w:t xml:space="preserve"> </w:t>
      </w:r>
      <w:r w:rsidR="00176A39" w:rsidRPr="00F57405">
        <w:rPr>
          <w:sz w:val="22"/>
        </w:rPr>
        <w:t>for property tax revenue to mean collected within the current period or expected to be collected soon enough thereafter to be used to pay liabilities of the current period.</w:t>
      </w:r>
      <w:r w:rsidR="00176A39" w:rsidRPr="00F57405">
        <w:rPr>
          <w:color w:val="auto"/>
          <w:sz w:val="22"/>
        </w:rPr>
        <w:t xml:space="preserve"> </w:t>
      </w:r>
      <w:r w:rsidR="00176A39" w:rsidRPr="00F57405">
        <w:rPr>
          <w:sz w:val="22"/>
        </w:rPr>
        <w:t xml:space="preserve">Such time thereafter shall not exceed 60 days. </w:t>
      </w:r>
      <w:r w:rsidR="009932D5" w:rsidRPr="00F57405">
        <w:rPr>
          <w:sz w:val="22"/>
        </w:rPr>
        <w:t>Paragraph 8 of NCGA Interpretation 3, as amended states: If, because of unusual circumstances, the facts justify a period greater than 60 days, the governmental unit should disclose the period being used and the facts that justify it.</w:t>
      </w:r>
      <w:r w:rsidR="009932D5" w:rsidRPr="00F57405">
        <w:rPr>
          <w:color w:val="auto"/>
          <w:sz w:val="22"/>
        </w:rPr>
        <w:t xml:space="preserve"> </w:t>
      </w:r>
    </w:p>
    <w:p w:rsidR="00657924" w:rsidRPr="00F57405" w:rsidRDefault="00657924" w:rsidP="00403C24">
      <w:pPr>
        <w:rPr>
          <w:sz w:val="22"/>
        </w:rPr>
      </w:pPr>
    </w:p>
    <w:p w:rsidR="00657924" w:rsidRPr="00F57405" w:rsidRDefault="00657924" w:rsidP="00657924">
      <w:pPr>
        <w:rPr>
          <w:sz w:val="22"/>
        </w:rPr>
      </w:pPr>
      <w:r w:rsidRPr="00F57405">
        <w:rPr>
          <w:sz w:val="22"/>
        </w:rPr>
        <w:t>If a district is within a county that has adopted a resolution to move the final tax settlement to September 20, 2020, the property tax revenues will be outside of the required 60 day availability period.</w:t>
      </w:r>
      <w:r w:rsidRPr="00F57405">
        <w:rPr>
          <w:color w:val="auto"/>
          <w:sz w:val="22"/>
        </w:rPr>
        <w:t xml:space="preserve"> </w:t>
      </w:r>
      <w:r w:rsidR="00BC06E8" w:rsidRPr="00F57405">
        <w:rPr>
          <w:color w:val="auto"/>
          <w:sz w:val="22"/>
        </w:rPr>
        <w:t>Districts and auditors</w:t>
      </w:r>
      <w:r w:rsidR="000A1C00" w:rsidRPr="00F57405">
        <w:rPr>
          <w:color w:val="auto"/>
          <w:sz w:val="22"/>
        </w:rPr>
        <w:t xml:space="preserve"> should</w:t>
      </w:r>
      <w:r w:rsidRPr="00F57405">
        <w:rPr>
          <w:color w:val="auto"/>
          <w:sz w:val="22"/>
        </w:rPr>
        <w:t xml:space="preserve"> determine </w:t>
      </w:r>
      <w:r w:rsidR="000A1C00" w:rsidRPr="00F57405">
        <w:rPr>
          <w:color w:val="auto"/>
          <w:sz w:val="22"/>
        </w:rPr>
        <w:t xml:space="preserve">if they consider </w:t>
      </w:r>
      <w:r w:rsidRPr="00F57405">
        <w:rPr>
          <w:color w:val="auto"/>
          <w:sz w:val="22"/>
        </w:rPr>
        <w:t>the CO</w:t>
      </w:r>
      <w:r w:rsidR="000A1C00" w:rsidRPr="00F57405">
        <w:rPr>
          <w:color w:val="auto"/>
          <w:sz w:val="22"/>
        </w:rPr>
        <w:t xml:space="preserve">VID-19 pandemic </w:t>
      </w:r>
      <w:r w:rsidRPr="00F57405">
        <w:rPr>
          <w:color w:val="auto"/>
          <w:sz w:val="22"/>
        </w:rPr>
        <w:t>an unusual circumstance</w:t>
      </w:r>
      <w:r w:rsidR="000A1C00" w:rsidRPr="00F57405">
        <w:rPr>
          <w:color w:val="auto"/>
          <w:sz w:val="22"/>
        </w:rPr>
        <w:t>. S</w:t>
      </w:r>
      <w:r w:rsidRPr="00F57405">
        <w:rPr>
          <w:color w:val="auto"/>
          <w:sz w:val="22"/>
        </w:rPr>
        <w:t xml:space="preserve">chool districts which have a September 20, 2020 tax settlement date are able to use a </w:t>
      </w:r>
      <w:r w:rsidR="000A1C00" w:rsidRPr="00F57405">
        <w:rPr>
          <w:color w:val="auto"/>
          <w:sz w:val="22"/>
        </w:rPr>
        <w:t xml:space="preserve">one-time availability period different than the usually required 60 days </w:t>
      </w:r>
      <w:r w:rsidRPr="00F57405">
        <w:rPr>
          <w:sz w:val="22"/>
        </w:rPr>
        <w:t xml:space="preserve">if the period used and facts that justify it are properly disclosed in the financial statements. The extension of the collection period is not considered to be a change in accounting policy and the District must resume its normal availability period in the subsequent year. </w:t>
      </w:r>
    </w:p>
    <w:p w:rsidR="009932D5" w:rsidRPr="00F57405" w:rsidRDefault="009932D5" w:rsidP="00245247">
      <w:pPr>
        <w:rPr>
          <w:color w:val="auto"/>
          <w:sz w:val="22"/>
        </w:rPr>
      </w:pPr>
    </w:p>
    <w:p w:rsidR="002849A2" w:rsidRPr="00F57405" w:rsidRDefault="002849A2" w:rsidP="002849A2">
      <w:pPr>
        <w:rPr>
          <w:sz w:val="22"/>
        </w:rPr>
      </w:pPr>
      <w:r w:rsidRPr="00F57405">
        <w:rPr>
          <w:sz w:val="22"/>
        </w:rPr>
        <w:t xml:space="preserve">If a District within a county that has adopted a resolution delaying the final tax settlement to September 20, 2020 continues to use a 60 day </w:t>
      </w:r>
      <w:r w:rsidR="008676EC" w:rsidRPr="00F57405">
        <w:rPr>
          <w:sz w:val="22"/>
        </w:rPr>
        <w:t xml:space="preserve">availability </w:t>
      </w:r>
      <w:r w:rsidRPr="00F57405">
        <w:rPr>
          <w:sz w:val="22"/>
        </w:rPr>
        <w:t>period instead of electing a</w:t>
      </w:r>
      <w:r w:rsidR="008676EC" w:rsidRPr="00F57405">
        <w:rPr>
          <w:sz w:val="22"/>
        </w:rPr>
        <w:t>n availability</w:t>
      </w:r>
      <w:r w:rsidRPr="00F57405">
        <w:rPr>
          <w:sz w:val="22"/>
        </w:rPr>
        <w:t xml:space="preserve"> period greater than 60 days for unusual circumstances, the final tax collections will be considered revenue </w:t>
      </w:r>
      <w:r w:rsidR="008676EC" w:rsidRPr="00F57405">
        <w:rPr>
          <w:sz w:val="22"/>
        </w:rPr>
        <w:t xml:space="preserve">in the governmental funds </w:t>
      </w:r>
      <w:r w:rsidRPr="00F57405">
        <w:rPr>
          <w:sz w:val="22"/>
        </w:rPr>
        <w:t xml:space="preserve">on the FY21 audited financial statements. </w:t>
      </w:r>
    </w:p>
    <w:p w:rsidR="002849A2" w:rsidRPr="00F57405" w:rsidRDefault="002849A2" w:rsidP="002849A2">
      <w:pPr>
        <w:rPr>
          <w:sz w:val="22"/>
        </w:rPr>
      </w:pPr>
    </w:p>
    <w:p w:rsidR="002849A2" w:rsidRPr="00F57405" w:rsidRDefault="002849A2" w:rsidP="002849A2">
      <w:pPr>
        <w:rPr>
          <w:sz w:val="22"/>
        </w:rPr>
      </w:pPr>
      <w:r w:rsidRPr="00F57405">
        <w:rPr>
          <w:b/>
          <w:sz w:val="22"/>
        </w:rPr>
        <w:t xml:space="preserve">Due to revenue limits and state aids, the DPI is requiring September 20, 2020 tax settlements be recorded as 2019-20 property tax revenue in the PI-1505 Annual Report. </w:t>
      </w:r>
      <w:r w:rsidRPr="00F57405">
        <w:rPr>
          <w:sz w:val="22"/>
        </w:rPr>
        <w:t>If the district does not elect a period greater than 60 days for unusual circumstances, this will cause a GAAP to regulatory difference between the PI-1505 Annual Report and audited financial statements.</w:t>
      </w:r>
    </w:p>
    <w:p w:rsidR="002849A2" w:rsidRPr="00F57405" w:rsidRDefault="002849A2" w:rsidP="002849A2">
      <w:pPr>
        <w:rPr>
          <w:sz w:val="22"/>
        </w:rPr>
      </w:pPr>
    </w:p>
    <w:p w:rsidR="002849A2" w:rsidRPr="00F57405" w:rsidRDefault="002849A2" w:rsidP="002849A2">
      <w:pPr>
        <w:rPr>
          <w:sz w:val="22"/>
        </w:rPr>
      </w:pPr>
      <w:r w:rsidRPr="00F57405">
        <w:rPr>
          <w:sz w:val="22"/>
        </w:rPr>
        <w:t>The DPI strongly recommends Districts with a September 20, 2020 final settlement date elect a 90 day collection period for property tax revenues due to the unusual circumstances of COVID-19 for the following reasons:</w:t>
      </w:r>
    </w:p>
    <w:p w:rsidR="002849A2" w:rsidRPr="00F57405" w:rsidRDefault="002849A2" w:rsidP="002849A2">
      <w:pPr>
        <w:rPr>
          <w:sz w:val="22"/>
        </w:rPr>
      </w:pPr>
    </w:p>
    <w:p w:rsidR="002849A2" w:rsidRPr="00F57405" w:rsidRDefault="00D42F45" w:rsidP="00D42F45">
      <w:pPr>
        <w:rPr>
          <w:sz w:val="22"/>
        </w:rPr>
      </w:pPr>
      <w:r w:rsidRPr="00F57405">
        <w:rPr>
          <w:sz w:val="22"/>
        </w:rPr>
        <w:t>-</w:t>
      </w:r>
      <w:r w:rsidR="002849A2" w:rsidRPr="00F57405">
        <w:rPr>
          <w:sz w:val="22"/>
        </w:rPr>
        <w:t>Provides consistent application of governmental fund revenue recognition year over year.</w:t>
      </w:r>
    </w:p>
    <w:p w:rsidR="002849A2" w:rsidRPr="00F57405" w:rsidRDefault="00D42F45" w:rsidP="00D42F45">
      <w:pPr>
        <w:rPr>
          <w:sz w:val="22"/>
        </w:rPr>
      </w:pPr>
      <w:r w:rsidRPr="00F57405">
        <w:rPr>
          <w:sz w:val="22"/>
        </w:rPr>
        <w:t>-</w:t>
      </w:r>
      <w:r w:rsidR="002849A2" w:rsidRPr="00F57405">
        <w:rPr>
          <w:sz w:val="22"/>
        </w:rPr>
        <w:t>Audited financial statements will better align with budget expectations as all 2019 tax levy will be recorded as revenue.</w:t>
      </w:r>
    </w:p>
    <w:p w:rsidR="002849A2" w:rsidRPr="00F57405" w:rsidRDefault="00D42F45" w:rsidP="00D42F45">
      <w:pPr>
        <w:rPr>
          <w:sz w:val="22"/>
        </w:rPr>
      </w:pPr>
      <w:r w:rsidRPr="00F57405">
        <w:rPr>
          <w:sz w:val="22"/>
        </w:rPr>
        <w:t>-</w:t>
      </w:r>
      <w:r w:rsidR="002849A2" w:rsidRPr="00F57405">
        <w:rPr>
          <w:sz w:val="22"/>
        </w:rPr>
        <w:t>Allows audited financial statements and PI-1505 Annual Report to match.</w:t>
      </w:r>
    </w:p>
    <w:p w:rsidR="002849A2" w:rsidRPr="00F57405" w:rsidRDefault="002849A2" w:rsidP="002849A2">
      <w:pPr>
        <w:rPr>
          <w:b/>
          <w:sz w:val="22"/>
        </w:rPr>
      </w:pPr>
    </w:p>
    <w:p w:rsidR="002849A2" w:rsidRPr="00F57405" w:rsidRDefault="002849A2" w:rsidP="002849A2">
      <w:pPr>
        <w:rPr>
          <w:sz w:val="22"/>
        </w:rPr>
      </w:pPr>
      <w:r w:rsidRPr="00F57405">
        <w:rPr>
          <w:sz w:val="22"/>
        </w:rPr>
        <w:t>The DPI has communicated this information with school districts and recommended district finance staff contact auditors to discuss further.</w:t>
      </w:r>
    </w:p>
    <w:p w:rsidR="002849A2" w:rsidRPr="00F57405" w:rsidRDefault="002849A2" w:rsidP="002849A2">
      <w:pPr>
        <w:rPr>
          <w:sz w:val="22"/>
        </w:rPr>
      </w:pPr>
    </w:p>
    <w:p w:rsidR="003B4F60" w:rsidRPr="00483148" w:rsidRDefault="003B4F60" w:rsidP="00FD0833">
      <w:pPr>
        <w:rPr>
          <w:sz w:val="22"/>
        </w:rPr>
      </w:pPr>
      <w:r w:rsidRPr="00F57405">
        <w:rPr>
          <w:sz w:val="22"/>
        </w:rPr>
        <w:lastRenderedPageBreak/>
        <w:t>If you would like to discuss further</w:t>
      </w:r>
      <w:r w:rsidR="00483148" w:rsidRPr="00F57405">
        <w:rPr>
          <w:sz w:val="22"/>
        </w:rPr>
        <w:t xml:space="preserve">, please contact </w:t>
      </w:r>
      <w:r w:rsidR="00483148" w:rsidRPr="00F57405">
        <w:rPr>
          <w:sz w:val="22"/>
        </w:rPr>
        <w:t>Jillian Raff</w:t>
      </w:r>
      <w:r w:rsidR="00483148" w:rsidRPr="00F57405">
        <w:rPr>
          <w:sz w:val="22"/>
        </w:rPr>
        <w:t xml:space="preserve"> at 608-</w:t>
      </w:r>
      <w:r w:rsidR="00483148" w:rsidRPr="00F57405">
        <w:rPr>
          <w:sz w:val="22"/>
        </w:rPr>
        <w:t>267-7882</w:t>
      </w:r>
      <w:r w:rsidR="00483148" w:rsidRPr="00F57405">
        <w:rPr>
          <w:sz w:val="22"/>
        </w:rPr>
        <w:t xml:space="preserve"> or</w:t>
      </w:r>
      <w:r w:rsidR="00483148" w:rsidRPr="00F57405">
        <w:rPr>
          <w:sz w:val="22"/>
        </w:rPr>
        <w:t xml:space="preserve"> </w:t>
      </w:r>
      <w:hyperlink r:id="rId6" w:history="1">
        <w:r w:rsidRPr="00F57405">
          <w:rPr>
            <w:rStyle w:val="Hyperlink"/>
            <w:sz w:val="22"/>
          </w:rPr>
          <w:t>jillian.raff@dpi.wi.gov</w:t>
        </w:r>
      </w:hyperlink>
      <w:r w:rsidR="00483148" w:rsidRPr="00F57405">
        <w:rPr>
          <w:sz w:val="22"/>
        </w:rPr>
        <w:t>.</w:t>
      </w:r>
      <w:bookmarkStart w:id="0" w:name="_GoBack"/>
      <w:bookmarkEnd w:id="0"/>
    </w:p>
    <w:sectPr w:rsidR="003B4F60" w:rsidRPr="004831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009E9"/>
    <w:multiLevelType w:val="hybridMultilevel"/>
    <w:tmpl w:val="B614B85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9AE"/>
    <w:rsid w:val="000378C7"/>
    <w:rsid w:val="000748E6"/>
    <w:rsid w:val="000A1C00"/>
    <w:rsid w:val="00176A39"/>
    <w:rsid w:val="00245247"/>
    <w:rsid w:val="00262248"/>
    <w:rsid w:val="002849A2"/>
    <w:rsid w:val="003B4F60"/>
    <w:rsid w:val="00403C24"/>
    <w:rsid w:val="00483148"/>
    <w:rsid w:val="005A6395"/>
    <w:rsid w:val="00605E2B"/>
    <w:rsid w:val="00657924"/>
    <w:rsid w:val="006832AC"/>
    <w:rsid w:val="00747CDA"/>
    <w:rsid w:val="007E01CC"/>
    <w:rsid w:val="008676EC"/>
    <w:rsid w:val="008F2CCF"/>
    <w:rsid w:val="009932D5"/>
    <w:rsid w:val="009E3760"/>
    <w:rsid w:val="00B40D21"/>
    <w:rsid w:val="00BC06E8"/>
    <w:rsid w:val="00CF7326"/>
    <w:rsid w:val="00D169AE"/>
    <w:rsid w:val="00D42F45"/>
    <w:rsid w:val="00F57405"/>
    <w:rsid w:val="00FD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73843"/>
  <w15:chartTrackingRefBased/>
  <w15:docId w15:val="{78C3C80B-D902-40F3-B301-EE1E9A488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83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D0833"/>
    <w:rPr>
      <w:rFonts w:ascii="Times New Roman" w:hAnsi="Times New Roman" w:cs="Times New Roman" w:hint="default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D0833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2452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52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5247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52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5247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2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247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illian.raff@dpi.wi.gov" TargetMode="External"/><Relationship Id="rId5" Type="http://schemas.openxmlformats.org/officeDocument/2006/relationships/hyperlink" Target="https://docs.legis.wisconsin.gov/2019/related/acts/185/10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Public Instruction</Company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Raff, Jillian M.   DPI</dc:creator>
  <cp:keywords/>
  <dc:description/>
  <cp:lastModifiedBy>Raff, Jillian M.   DPI</cp:lastModifiedBy>
  <cp:revision>5</cp:revision>
  <dcterms:created xsi:type="dcterms:W3CDTF">2020-04-30T17:12:00Z</dcterms:created>
  <dcterms:modified xsi:type="dcterms:W3CDTF">2020-05-01T14:59:00Z</dcterms:modified>
</cp:coreProperties>
</file>