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06D12" w14:textId="77777777" w:rsidR="00045116" w:rsidRPr="00045116" w:rsidRDefault="00045116" w:rsidP="00045116">
      <w:pPr>
        <w:jc w:val="center"/>
        <w:rPr>
          <w:rFonts w:ascii="Calibri" w:hAnsi="Calibri" w:cs="Arial"/>
          <w:b/>
          <w:sz w:val="40"/>
          <w:szCs w:val="40"/>
        </w:rPr>
      </w:pPr>
      <w:r w:rsidRPr="00045116">
        <w:rPr>
          <w:rFonts w:ascii="Calibri" w:hAnsi="Calibri" w:cs="Arial"/>
          <w:b/>
          <w:sz w:val="40"/>
          <w:szCs w:val="40"/>
        </w:rPr>
        <w:t xml:space="preserve">STATE SUPERINTENDENT’S </w:t>
      </w:r>
    </w:p>
    <w:p w14:paraId="0EE5156C" w14:textId="77777777" w:rsidR="00045116" w:rsidRPr="00045116" w:rsidRDefault="00045116" w:rsidP="00045116">
      <w:pPr>
        <w:jc w:val="center"/>
        <w:rPr>
          <w:rFonts w:ascii="Calibri" w:hAnsi="Calibri" w:cs="Arial"/>
          <w:b/>
          <w:sz w:val="40"/>
          <w:szCs w:val="40"/>
        </w:rPr>
      </w:pPr>
      <w:r w:rsidRPr="00045116">
        <w:rPr>
          <w:rFonts w:ascii="Calibri" w:hAnsi="Calibri" w:cs="Arial"/>
          <w:b/>
          <w:sz w:val="40"/>
          <w:szCs w:val="40"/>
        </w:rPr>
        <w:t>Equity in the Every Student Succeeds Act (ESSA)</w:t>
      </w:r>
    </w:p>
    <w:p w14:paraId="05738776" w14:textId="77777777" w:rsidR="00045116" w:rsidRDefault="00045116" w:rsidP="00045116">
      <w:pPr>
        <w:jc w:val="center"/>
        <w:rPr>
          <w:rFonts w:ascii="Calibri" w:hAnsi="Calibri" w:cs="Arial"/>
          <w:b/>
          <w:sz w:val="40"/>
          <w:szCs w:val="40"/>
        </w:rPr>
      </w:pPr>
      <w:r w:rsidRPr="00045116">
        <w:rPr>
          <w:rFonts w:ascii="Calibri" w:hAnsi="Calibri" w:cs="Arial"/>
          <w:b/>
          <w:sz w:val="40"/>
          <w:szCs w:val="40"/>
        </w:rPr>
        <w:t>Stakeholder Council</w:t>
      </w:r>
    </w:p>
    <w:p w14:paraId="60DCD343" w14:textId="12A19E97" w:rsidR="00A31F6E" w:rsidRPr="00045116" w:rsidRDefault="00A31F6E" w:rsidP="00045116">
      <w:pPr>
        <w:jc w:val="center"/>
        <w:rPr>
          <w:rFonts w:ascii="Calibri" w:hAnsi="Calibri" w:cs="Arial"/>
          <w:b/>
          <w:sz w:val="40"/>
          <w:szCs w:val="40"/>
        </w:rPr>
      </w:pPr>
      <w:r>
        <w:rPr>
          <w:rFonts w:ascii="Calibri" w:hAnsi="Calibri" w:cs="Arial"/>
          <w:b/>
          <w:sz w:val="40"/>
          <w:szCs w:val="40"/>
        </w:rPr>
        <w:t>Draft Notes</w:t>
      </w:r>
    </w:p>
    <w:p w14:paraId="3C206853" w14:textId="77777777" w:rsidR="00045116" w:rsidRPr="00045116" w:rsidRDefault="00045116" w:rsidP="00045116">
      <w:pPr>
        <w:jc w:val="center"/>
        <w:rPr>
          <w:rFonts w:ascii="Calibri" w:hAnsi="Calibri" w:cs="Arial"/>
          <w:color w:val="auto"/>
          <w:sz w:val="22"/>
          <w:szCs w:val="22"/>
        </w:rPr>
      </w:pPr>
      <w:r w:rsidRPr="00045116">
        <w:rPr>
          <w:rFonts w:ascii="Calibri" w:hAnsi="Calibri" w:cs="Arial"/>
          <w:color w:val="auto"/>
          <w:sz w:val="22"/>
          <w:szCs w:val="22"/>
        </w:rPr>
        <w:t>Wednesday, August 31, 2016</w:t>
      </w:r>
    </w:p>
    <w:p w14:paraId="424F034E" w14:textId="77777777" w:rsidR="00045116" w:rsidRPr="00045116" w:rsidRDefault="00045116" w:rsidP="00045116">
      <w:pPr>
        <w:jc w:val="center"/>
        <w:rPr>
          <w:rFonts w:ascii="Calibri" w:hAnsi="Calibri" w:cs="Arial"/>
          <w:color w:val="auto"/>
          <w:sz w:val="22"/>
          <w:szCs w:val="22"/>
        </w:rPr>
      </w:pPr>
      <w:r w:rsidRPr="00045116">
        <w:rPr>
          <w:rFonts w:ascii="Calibri" w:hAnsi="Calibri" w:cs="Arial"/>
          <w:color w:val="auto"/>
          <w:sz w:val="22"/>
          <w:szCs w:val="22"/>
        </w:rPr>
        <w:t>Optional Light Refreshments: 9:00 a.m.</w:t>
      </w:r>
    </w:p>
    <w:p w14:paraId="6C3EA84A" w14:textId="77777777" w:rsidR="00045116" w:rsidRDefault="00045116" w:rsidP="00045116">
      <w:pPr>
        <w:jc w:val="center"/>
        <w:rPr>
          <w:rFonts w:ascii="Calibri" w:hAnsi="Calibri" w:cs="Arial"/>
          <w:color w:val="auto"/>
          <w:sz w:val="22"/>
          <w:szCs w:val="22"/>
        </w:rPr>
      </w:pPr>
      <w:r w:rsidRPr="00045116">
        <w:rPr>
          <w:rFonts w:ascii="Calibri" w:hAnsi="Calibri" w:cs="Arial"/>
          <w:color w:val="auto"/>
          <w:sz w:val="22"/>
          <w:szCs w:val="22"/>
        </w:rPr>
        <w:t>Meeting time: 9:30 – 11:30 a.m.</w:t>
      </w:r>
    </w:p>
    <w:p w14:paraId="58D67B6D" w14:textId="1E725632" w:rsidR="00311990" w:rsidRPr="00045116" w:rsidRDefault="00311990" w:rsidP="00045116">
      <w:pPr>
        <w:jc w:val="center"/>
        <w:rPr>
          <w:rFonts w:ascii="Calibri" w:hAnsi="Calibri" w:cs="Arial"/>
          <w:color w:val="auto"/>
          <w:sz w:val="22"/>
          <w:szCs w:val="22"/>
        </w:rPr>
      </w:pPr>
      <w:r>
        <w:rPr>
          <w:rFonts w:ascii="Calibri" w:hAnsi="Calibri" w:cs="Arial"/>
          <w:color w:val="auto"/>
          <w:sz w:val="22"/>
          <w:szCs w:val="22"/>
        </w:rPr>
        <w:t>Department of Public Instruction (DPI)</w:t>
      </w:r>
    </w:p>
    <w:p w14:paraId="3ACB20BC" w14:textId="77777777" w:rsidR="00045116" w:rsidRPr="00045116" w:rsidRDefault="00045116" w:rsidP="00045116">
      <w:pPr>
        <w:jc w:val="center"/>
        <w:rPr>
          <w:rFonts w:ascii="Calibri" w:hAnsi="Calibri" w:cs="Arial"/>
          <w:color w:val="auto"/>
          <w:sz w:val="22"/>
          <w:szCs w:val="22"/>
        </w:rPr>
      </w:pPr>
      <w:r w:rsidRPr="00045116">
        <w:rPr>
          <w:rFonts w:ascii="Calibri" w:hAnsi="Calibri" w:cs="Arial"/>
          <w:color w:val="auto"/>
          <w:sz w:val="22"/>
          <w:szCs w:val="22"/>
        </w:rPr>
        <w:t>GEF III Building – Conference Room P41</w:t>
      </w:r>
    </w:p>
    <w:p w14:paraId="1DB39DE5" w14:textId="77777777" w:rsidR="00045116" w:rsidRPr="00045116" w:rsidRDefault="00045116" w:rsidP="00045116">
      <w:pPr>
        <w:jc w:val="center"/>
        <w:rPr>
          <w:rFonts w:ascii="Calibri" w:hAnsi="Calibri" w:cs="Arial"/>
          <w:color w:val="auto"/>
          <w:sz w:val="22"/>
          <w:szCs w:val="22"/>
        </w:rPr>
      </w:pPr>
      <w:r w:rsidRPr="00045116">
        <w:rPr>
          <w:rFonts w:ascii="Calibri" w:hAnsi="Calibri" w:cs="Arial"/>
          <w:color w:val="auto"/>
          <w:sz w:val="22"/>
          <w:szCs w:val="22"/>
        </w:rPr>
        <w:t>125 South Webster Street</w:t>
      </w:r>
    </w:p>
    <w:p w14:paraId="0EBD2C9E" w14:textId="77777777" w:rsidR="00045116" w:rsidRPr="00045116" w:rsidRDefault="00045116" w:rsidP="00045116">
      <w:pPr>
        <w:jc w:val="center"/>
        <w:rPr>
          <w:rFonts w:ascii="Calibri" w:hAnsi="Calibri" w:cs="Arial"/>
          <w:color w:val="auto"/>
          <w:sz w:val="22"/>
          <w:szCs w:val="22"/>
        </w:rPr>
      </w:pPr>
      <w:r w:rsidRPr="00045116">
        <w:rPr>
          <w:rFonts w:ascii="Calibri" w:hAnsi="Calibri" w:cs="Arial"/>
          <w:color w:val="auto"/>
          <w:sz w:val="22"/>
          <w:szCs w:val="22"/>
        </w:rPr>
        <w:t>Madison, WI 53707</w:t>
      </w:r>
    </w:p>
    <w:p w14:paraId="0A655563" w14:textId="77777777" w:rsidR="00045116" w:rsidRPr="008E136E" w:rsidRDefault="00045116" w:rsidP="00045116">
      <w:pPr>
        <w:rPr>
          <w:sz w:val="16"/>
        </w:rPr>
      </w:pPr>
    </w:p>
    <w:p w14:paraId="6C895BFA" w14:textId="77777777" w:rsidR="00045116" w:rsidRPr="008E136E" w:rsidRDefault="00045116" w:rsidP="00045116">
      <w:pPr>
        <w:rPr>
          <w:sz w:val="16"/>
        </w:rPr>
      </w:pPr>
    </w:p>
    <w:p w14:paraId="6C9A7BAE" w14:textId="77777777" w:rsidR="00045116" w:rsidRPr="00045116" w:rsidRDefault="00045116" w:rsidP="00045116">
      <w:r w:rsidRPr="00045116">
        <w:rPr>
          <w:b/>
        </w:rPr>
        <w:t>Council Purpose:</w:t>
      </w:r>
      <w:r w:rsidRPr="00045116">
        <w:t xml:space="preserve">  To elicit input on the state’s implementation of Every Student Succeeds Act (ESSA) with an eye toward equity</w:t>
      </w:r>
    </w:p>
    <w:p w14:paraId="7D87B7C5" w14:textId="77777777" w:rsidR="00045116" w:rsidRPr="00045116" w:rsidRDefault="00045116" w:rsidP="00045116"/>
    <w:p w14:paraId="5AA2009E" w14:textId="77777777" w:rsidR="00045116" w:rsidRPr="00045116" w:rsidRDefault="00045116" w:rsidP="00045116">
      <w:r w:rsidRPr="00045116">
        <w:rPr>
          <w:b/>
        </w:rPr>
        <w:t>Council Assurance:</w:t>
      </w:r>
      <w:r w:rsidRPr="00045116">
        <w:t xml:space="preserve">  To allow every member of the council to enter the conversation confidently and speak from a place of personal and professional expertise</w:t>
      </w:r>
    </w:p>
    <w:p w14:paraId="13FE9793" w14:textId="77777777" w:rsidR="00045116" w:rsidRPr="00045116" w:rsidRDefault="00045116" w:rsidP="00045116"/>
    <w:p w14:paraId="2909A4A4" w14:textId="46151A14" w:rsidR="00045116" w:rsidRPr="00045116" w:rsidRDefault="00045116" w:rsidP="00045116">
      <w:r w:rsidRPr="00A31F6E">
        <w:rPr>
          <w:b/>
        </w:rPr>
        <w:t>Attendees:</w:t>
      </w:r>
      <w:r w:rsidRPr="00045116">
        <w:t xml:space="preserve">  Ashley, Bales, Bender, </w:t>
      </w:r>
      <w:proofErr w:type="spellStart"/>
      <w:r w:rsidRPr="00045116">
        <w:t>Bradtke</w:t>
      </w:r>
      <w:proofErr w:type="spellEnd"/>
      <w:r w:rsidRPr="00045116">
        <w:t xml:space="preserve">, Carranza, Cullen, Driver, DuBois Bourenane, Evers, </w:t>
      </w:r>
      <w:proofErr w:type="spellStart"/>
      <w:r w:rsidRPr="00045116">
        <w:t>Finco</w:t>
      </w:r>
      <w:proofErr w:type="spellEnd"/>
      <w:r w:rsidRPr="00045116">
        <w:t>, Harness, Haynes, Her-</w:t>
      </w:r>
      <w:proofErr w:type="spellStart"/>
      <w:r w:rsidRPr="00045116">
        <w:t>Xiong</w:t>
      </w:r>
      <w:proofErr w:type="spellEnd"/>
      <w:r w:rsidRPr="00045116">
        <w:t xml:space="preserve">, </w:t>
      </w:r>
      <w:proofErr w:type="spellStart"/>
      <w:r w:rsidRPr="00045116">
        <w:t>Hollmon</w:t>
      </w:r>
      <w:proofErr w:type="spellEnd"/>
      <w:r w:rsidRPr="00045116">
        <w:t xml:space="preserve">, </w:t>
      </w:r>
      <w:proofErr w:type="spellStart"/>
      <w:r w:rsidR="003E58EF">
        <w:t>Hurlburt</w:t>
      </w:r>
      <w:proofErr w:type="spellEnd"/>
      <w:r w:rsidR="003E58EF">
        <w:t xml:space="preserve">, </w:t>
      </w:r>
      <w:r w:rsidRPr="00045116">
        <w:t xml:space="preserve">Humphrey, Jackson, </w:t>
      </w:r>
      <w:proofErr w:type="spellStart"/>
      <w:r w:rsidRPr="00045116">
        <w:t>Juchems</w:t>
      </w:r>
      <w:proofErr w:type="spellEnd"/>
      <w:r w:rsidRPr="00045116">
        <w:t xml:space="preserve">, </w:t>
      </w:r>
      <w:proofErr w:type="spellStart"/>
      <w:r w:rsidRPr="00045116">
        <w:t>Kohlhaas</w:t>
      </w:r>
      <w:proofErr w:type="spellEnd"/>
      <w:r w:rsidRPr="00045116">
        <w:t xml:space="preserve">, </w:t>
      </w:r>
      <w:proofErr w:type="spellStart"/>
      <w:r w:rsidRPr="00045116">
        <w:t>Kolison</w:t>
      </w:r>
      <w:proofErr w:type="spellEnd"/>
      <w:r w:rsidRPr="00045116">
        <w:t xml:space="preserve">, Lynch, Martin, </w:t>
      </w:r>
      <w:proofErr w:type="spellStart"/>
      <w:r w:rsidRPr="00045116">
        <w:t>Myrah</w:t>
      </w:r>
      <w:proofErr w:type="spellEnd"/>
      <w:r w:rsidRPr="00045116">
        <w:t xml:space="preserve">, Nelson, Olsen, Pope, Pugh, Roberts, Taylor, </w:t>
      </w:r>
      <w:proofErr w:type="spellStart"/>
      <w:r w:rsidRPr="00045116">
        <w:t>Wegenke</w:t>
      </w:r>
      <w:proofErr w:type="spellEnd"/>
      <w:r w:rsidRPr="00045116">
        <w:t xml:space="preserve">, </w:t>
      </w:r>
      <w:proofErr w:type="spellStart"/>
      <w:r w:rsidRPr="00045116">
        <w:t>Wiedenhoeft</w:t>
      </w:r>
      <w:proofErr w:type="spellEnd"/>
    </w:p>
    <w:p w14:paraId="71FDF0EE" w14:textId="77777777" w:rsidR="00045116" w:rsidRPr="00045116" w:rsidRDefault="00045116" w:rsidP="00045116"/>
    <w:p w14:paraId="3610D3FF" w14:textId="77777777" w:rsidR="00045116" w:rsidRPr="00045116" w:rsidRDefault="00045116" w:rsidP="00045116"/>
    <w:p w14:paraId="3EA1A917" w14:textId="77777777" w:rsidR="00045116" w:rsidRPr="00045116" w:rsidRDefault="00045116" w:rsidP="00045116">
      <w:pPr>
        <w:rPr>
          <w:b/>
        </w:rPr>
      </w:pPr>
      <w:r w:rsidRPr="00045116">
        <w:rPr>
          <w:b/>
        </w:rPr>
        <w:t>Review of Norms</w:t>
      </w:r>
    </w:p>
    <w:p w14:paraId="5AE0ADD2" w14:textId="77777777" w:rsidR="00045116" w:rsidRPr="00045116" w:rsidRDefault="00045116" w:rsidP="00045116">
      <w:pPr>
        <w:rPr>
          <w:u w:val="single"/>
        </w:rPr>
      </w:pPr>
      <w:r w:rsidRPr="00045116">
        <w:rPr>
          <w:u w:val="single"/>
        </w:rPr>
        <w:t>Working Norms</w:t>
      </w:r>
    </w:p>
    <w:p w14:paraId="787942A7" w14:textId="77777777" w:rsidR="00045116" w:rsidRPr="00045116" w:rsidRDefault="00045116" w:rsidP="00045116">
      <w:pPr>
        <w:ind w:left="720"/>
      </w:pPr>
      <w:r w:rsidRPr="00045116">
        <w:t>Provide agenda ahead of time.</w:t>
      </w:r>
    </w:p>
    <w:p w14:paraId="5EFEFA0D" w14:textId="77777777" w:rsidR="00045116" w:rsidRPr="00045116" w:rsidRDefault="00045116" w:rsidP="00045116">
      <w:pPr>
        <w:ind w:left="720"/>
      </w:pPr>
      <w:r w:rsidRPr="00045116">
        <w:t>Start and end on time.</w:t>
      </w:r>
    </w:p>
    <w:p w14:paraId="76CBA873" w14:textId="77777777" w:rsidR="00045116" w:rsidRPr="00045116" w:rsidRDefault="00045116" w:rsidP="00045116">
      <w:pPr>
        <w:ind w:left="720"/>
      </w:pPr>
      <w:r w:rsidRPr="00045116">
        <w:t>Conduct personal business outside of meetings.</w:t>
      </w:r>
    </w:p>
    <w:p w14:paraId="7E0A3AE9" w14:textId="77777777" w:rsidR="00045116" w:rsidRPr="00045116" w:rsidRDefault="00045116" w:rsidP="00045116"/>
    <w:p w14:paraId="6982F5A7" w14:textId="77777777" w:rsidR="00045116" w:rsidRPr="00045116" w:rsidRDefault="00045116" w:rsidP="00045116">
      <w:pPr>
        <w:rPr>
          <w:u w:val="single"/>
        </w:rPr>
      </w:pPr>
      <w:r>
        <w:rPr>
          <w:u w:val="single"/>
        </w:rPr>
        <w:t>Group N</w:t>
      </w:r>
      <w:r w:rsidRPr="00045116">
        <w:rPr>
          <w:u w:val="single"/>
        </w:rPr>
        <w:t>orms</w:t>
      </w:r>
    </w:p>
    <w:p w14:paraId="6016EEFE" w14:textId="77777777" w:rsidR="00045116" w:rsidRPr="00045116" w:rsidRDefault="00045116" w:rsidP="00045116">
      <w:pPr>
        <w:ind w:left="720"/>
      </w:pPr>
      <w:r w:rsidRPr="00045116">
        <w:t>Actively and respectfully listen and speak.</w:t>
      </w:r>
    </w:p>
    <w:p w14:paraId="6ADB729E" w14:textId="77777777" w:rsidR="00045116" w:rsidRPr="00045116" w:rsidRDefault="00045116" w:rsidP="00045116">
      <w:pPr>
        <w:ind w:left="720"/>
      </w:pPr>
      <w:r w:rsidRPr="00045116">
        <w:t>Suspend judgment and assume good will.</w:t>
      </w:r>
    </w:p>
    <w:p w14:paraId="7FC90A43" w14:textId="77777777" w:rsidR="00045116" w:rsidRPr="00045116" w:rsidRDefault="00045116" w:rsidP="00045116">
      <w:pPr>
        <w:ind w:left="720"/>
      </w:pPr>
      <w:r w:rsidRPr="00045116">
        <w:t>Express disagreement with ideas, not individuals.</w:t>
      </w:r>
    </w:p>
    <w:p w14:paraId="5E9B97B6" w14:textId="77777777" w:rsidR="00045116" w:rsidRPr="00045116" w:rsidRDefault="00045116" w:rsidP="00045116">
      <w:pPr>
        <w:ind w:left="720"/>
      </w:pPr>
      <w:r w:rsidRPr="00045116">
        <w:t>Share the airtime.</w:t>
      </w:r>
    </w:p>
    <w:p w14:paraId="12180633" w14:textId="77777777" w:rsidR="00045116" w:rsidRPr="00045116" w:rsidRDefault="00045116" w:rsidP="00045116">
      <w:pPr>
        <w:ind w:left="720"/>
      </w:pPr>
      <w:r w:rsidRPr="00045116">
        <w:t>Tell your own story.</w:t>
      </w:r>
    </w:p>
    <w:p w14:paraId="3EB28747" w14:textId="77777777" w:rsidR="00045116" w:rsidRPr="00045116" w:rsidRDefault="00045116" w:rsidP="00045116"/>
    <w:p w14:paraId="61FC83D6" w14:textId="77777777" w:rsidR="00045116" w:rsidRPr="00045116" w:rsidRDefault="00045116" w:rsidP="00045116"/>
    <w:p w14:paraId="2F5A88CD" w14:textId="77777777" w:rsidR="00045116" w:rsidRPr="00045116" w:rsidRDefault="00045116" w:rsidP="00045116">
      <w:pPr>
        <w:rPr>
          <w:b/>
        </w:rPr>
      </w:pPr>
      <w:r w:rsidRPr="00045116">
        <w:rPr>
          <w:b/>
        </w:rPr>
        <w:t>Build a collective understanding of ESSA and Wisconsin Demographics</w:t>
      </w:r>
    </w:p>
    <w:p w14:paraId="6D4C69C9" w14:textId="24C4A601" w:rsidR="00045116" w:rsidRPr="004D3EF2" w:rsidRDefault="004D3EF2" w:rsidP="00045116">
      <w:hyperlink r:id="rId7" w:history="1">
        <w:r w:rsidRPr="004D3EF2">
          <w:rPr>
            <w:rStyle w:val="Hyperlink"/>
          </w:rPr>
          <w:t>Click here for the PowerPoint presentation from the August 31, 2016 meeting</w:t>
        </w:r>
      </w:hyperlink>
      <w:r>
        <w:t>.</w:t>
      </w:r>
    </w:p>
    <w:p w14:paraId="6F08B10B" w14:textId="77777777" w:rsidR="00045116" w:rsidRPr="00045116" w:rsidRDefault="00045116" w:rsidP="00045116">
      <w:pPr>
        <w:rPr>
          <w:b/>
        </w:rPr>
      </w:pPr>
      <w:r w:rsidRPr="00045116">
        <w:rPr>
          <w:b/>
        </w:rPr>
        <w:lastRenderedPageBreak/>
        <w:t>Develop a working definition of equity</w:t>
      </w:r>
    </w:p>
    <w:p w14:paraId="3F2C8FA8" w14:textId="7A5F6835" w:rsidR="00045116" w:rsidRPr="00045116" w:rsidRDefault="00045116" w:rsidP="00045116">
      <w:r w:rsidRPr="00045116">
        <w:t xml:space="preserve">In small groups, participants shared words and phrases that represented the word “equity” to them. After a brief discussion, the words and phrases were collected to create this </w:t>
      </w:r>
      <w:proofErr w:type="spellStart"/>
      <w:r w:rsidRPr="00045116">
        <w:t>Wordle</w:t>
      </w:r>
      <w:proofErr w:type="spellEnd"/>
      <w:r w:rsidR="008E136E">
        <w:t xml:space="preserve"> that we will use as our grounding definitional frame</w:t>
      </w:r>
      <w:r w:rsidR="004D3EF2">
        <w:t xml:space="preserve">. </w:t>
      </w:r>
      <w:hyperlink r:id="rId8" w:history="1">
        <w:r w:rsidR="004D3EF2" w:rsidRPr="004D3EF2">
          <w:rPr>
            <w:rStyle w:val="Hyperlink"/>
          </w:rPr>
          <w:t xml:space="preserve">Click here for the equity </w:t>
        </w:r>
        <w:proofErr w:type="spellStart"/>
        <w:r w:rsidR="004D3EF2" w:rsidRPr="004D3EF2">
          <w:rPr>
            <w:rStyle w:val="Hyperlink"/>
          </w:rPr>
          <w:t>Wordle</w:t>
        </w:r>
        <w:proofErr w:type="spellEnd"/>
        <w:r w:rsidR="004D3EF2" w:rsidRPr="004D3EF2">
          <w:rPr>
            <w:rStyle w:val="Hyperlink"/>
          </w:rPr>
          <w:t xml:space="preserve"> that was created at the August 31, 2016 meeting</w:t>
        </w:r>
      </w:hyperlink>
      <w:r w:rsidR="004D3EF2">
        <w:t>.</w:t>
      </w:r>
      <w:bookmarkStart w:id="0" w:name="_GoBack"/>
      <w:bookmarkEnd w:id="0"/>
    </w:p>
    <w:p w14:paraId="2B8FFF31" w14:textId="77777777" w:rsidR="00045116" w:rsidRPr="00045116" w:rsidRDefault="00045116" w:rsidP="00045116">
      <w:pPr>
        <w:rPr>
          <w:b/>
        </w:rPr>
      </w:pPr>
    </w:p>
    <w:p w14:paraId="4E3DC880" w14:textId="77777777" w:rsidR="00045116" w:rsidRPr="00045116" w:rsidRDefault="00045116" w:rsidP="00045116">
      <w:pPr>
        <w:rPr>
          <w:b/>
        </w:rPr>
      </w:pPr>
    </w:p>
    <w:p w14:paraId="59469D9E" w14:textId="573A5969" w:rsidR="001743D5" w:rsidRPr="003245E0" w:rsidRDefault="00045116" w:rsidP="00045116">
      <w:pPr>
        <w:rPr>
          <w:b/>
        </w:rPr>
      </w:pPr>
      <w:r w:rsidRPr="00045116">
        <w:rPr>
          <w:b/>
        </w:rPr>
        <w:t>Meeting priorities for accountability and school improvement</w:t>
      </w:r>
    </w:p>
    <w:p w14:paraId="4F1E81E8" w14:textId="77777777" w:rsidR="001743D5" w:rsidRPr="00045116" w:rsidRDefault="001743D5" w:rsidP="00045116"/>
    <w:p w14:paraId="76149AF5" w14:textId="25ED8DF7" w:rsidR="00045116" w:rsidRPr="00045116" w:rsidRDefault="00045116" w:rsidP="00045116">
      <w:r w:rsidRPr="00045116">
        <w:t xml:space="preserve">The participants worked in small groups and were asked to focus on the following questions as they generated priorities.  They then voted on the questions to indicate their top choices. The </w:t>
      </w:r>
      <w:r w:rsidR="008E136E">
        <w:t>dots</w:t>
      </w:r>
      <w:r w:rsidRPr="00045116">
        <w:t xml:space="preserve"> determined the questions to be addressed by the group over the next two meetings.</w:t>
      </w:r>
    </w:p>
    <w:p w14:paraId="0F89A9BC" w14:textId="77777777" w:rsidR="00045116" w:rsidRPr="00045116" w:rsidRDefault="00045116" w:rsidP="00045116"/>
    <w:p w14:paraId="2F41472C" w14:textId="7927CB82" w:rsidR="00045116" w:rsidRPr="007B656E" w:rsidRDefault="00045116" w:rsidP="00045116">
      <w:pPr>
        <w:rPr>
          <w:u w:val="single"/>
        </w:rPr>
      </w:pPr>
      <w:r w:rsidRPr="007B656E">
        <w:rPr>
          <w:u w:val="single"/>
        </w:rPr>
        <w:t>Questions generated from</w:t>
      </w:r>
      <w:r w:rsidR="008E136E">
        <w:rPr>
          <w:u w:val="single"/>
        </w:rPr>
        <w:t xml:space="preserve"> listening sessions and stakeholder</w:t>
      </w:r>
      <w:r w:rsidRPr="007B656E">
        <w:rPr>
          <w:u w:val="single"/>
        </w:rPr>
        <w:t xml:space="preserve"> feedback: School Improvement</w:t>
      </w:r>
    </w:p>
    <w:p w14:paraId="76542D76" w14:textId="3C604B18" w:rsidR="00045116" w:rsidRPr="002D5B61" w:rsidRDefault="00045116" w:rsidP="00045116">
      <w:pPr>
        <w:pStyle w:val="ListParagraph"/>
        <w:numPr>
          <w:ilvl w:val="0"/>
          <w:numId w:val="4"/>
        </w:numPr>
        <w:rPr>
          <w:b/>
        </w:rPr>
      </w:pPr>
      <w:r>
        <w:t xml:space="preserve">You’ve seen the general categories of School Improvement strategies.  How should the comprehensive system of school improvement be designed to ensure equitable outcomes for all students?   </w:t>
      </w:r>
      <w:r w:rsidRPr="002D5B61">
        <w:rPr>
          <w:b/>
        </w:rPr>
        <w:t xml:space="preserve">10 </w:t>
      </w:r>
      <w:r w:rsidR="008E136E">
        <w:rPr>
          <w:b/>
        </w:rPr>
        <w:t>dots</w:t>
      </w:r>
    </w:p>
    <w:p w14:paraId="1660F6D7" w14:textId="77777777" w:rsidR="00045116" w:rsidRDefault="00045116" w:rsidP="00045116"/>
    <w:p w14:paraId="20EA4A08" w14:textId="5471D316" w:rsidR="00045116" w:rsidRDefault="00045116" w:rsidP="00045116">
      <w:pPr>
        <w:pStyle w:val="ListParagraph"/>
        <w:numPr>
          <w:ilvl w:val="0"/>
          <w:numId w:val="4"/>
        </w:numPr>
      </w:pPr>
      <w:r>
        <w:t xml:space="preserve">How are resources and support provided so that they are equitable, and schools/districts have access to the resources they need?  </w:t>
      </w:r>
      <w:r w:rsidRPr="002D5B61">
        <w:rPr>
          <w:b/>
        </w:rPr>
        <w:t xml:space="preserve">29 </w:t>
      </w:r>
      <w:r w:rsidR="008E136E">
        <w:rPr>
          <w:b/>
        </w:rPr>
        <w:t>dots</w:t>
      </w:r>
    </w:p>
    <w:p w14:paraId="5726EA06" w14:textId="77777777" w:rsidR="00045116" w:rsidRDefault="00045116" w:rsidP="00045116"/>
    <w:p w14:paraId="0AECCF36" w14:textId="1ABEC142" w:rsidR="00045116" w:rsidRPr="002D5B61" w:rsidRDefault="00045116" w:rsidP="00045116">
      <w:pPr>
        <w:pStyle w:val="ListParagraph"/>
        <w:numPr>
          <w:ilvl w:val="0"/>
          <w:numId w:val="4"/>
        </w:numPr>
        <w:rPr>
          <w:b/>
        </w:rPr>
      </w:pPr>
      <w:r>
        <w:t xml:space="preserve">ESSA requires each state to develop a set of school improvement strategies.  Should identified schools be required to implement these strategies?  How much local control should there be over these decisions in order to ensure equity?   </w:t>
      </w:r>
      <w:r w:rsidRPr="002D5B61">
        <w:rPr>
          <w:b/>
        </w:rPr>
        <w:t xml:space="preserve">17 </w:t>
      </w:r>
      <w:r w:rsidR="008E136E">
        <w:rPr>
          <w:b/>
        </w:rPr>
        <w:t>dots</w:t>
      </w:r>
    </w:p>
    <w:p w14:paraId="39D5F4BA" w14:textId="77777777" w:rsidR="00045116" w:rsidRDefault="00045116" w:rsidP="00045116"/>
    <w:p w14:paraId="601A608E" w14:textId="21474912" w:rsidR="00045116" w:rsidRPr="002D5B61" w:rsidRDefault="00045116" w:rsidP="00045116">
      <w:pPr>
        <w:pStyle w:val="ListParagraph"/>
        <w:numPr>
          <w:ilvl w:val="0"/>
          <w:numId w:val="4"/>
        </w:numPr>
        <w:rPr>
          <w:b/>
        </w:rPr>
      </w:pPr>
      <w:r>
        <w:t xml:space="preserve">How do we ensure that the most effective teachers and leaders are in schools with the greatest needs?  </w:t>
      </w:r>
      <w:r w:rsidRPr="002D5B61">
        <w:rPr>
          <w:b/>
        </w:rPr>
        <w:t xml:space="preserve">O </w:t>
      </w:r>
      <w:r w:rsidR="008E136E">
        <w:rPr>
          <w:b/>
        </w:rPr>
        <w:t>dots</w:t>
      </w:r>
    </w:p>
    <w:p w14:paraId="6EF71162" w14:textId="77777777" w:rsidR="00045116" w:rsidRDefault="00045116" w:rsidP="00045116"/>
    <w:p w14:paraId="1762C8BA" w14:textId="75EB18FA" w:rsidR="00045116" w:rsidRDefault="00045116" w:rsidP="00045116">
      <w:pPr>
        <w:pStyle w:val="ListParagraph"/>
        <w:numPr>
          <w:ilvl w:val="0"/>
          <w:numId w:val="4"/>
        </w:numPr>
      </w:pPr>
      <w:r>
        <w:t xml:space="preserve">What additional actions should DPI take in regards to LEAs with a “significant number” of identified comprehensive and/or targeted support schools?  </w:t>
      </w:r>
      <w:r w:rsidRPr="002D5B61">
        <w:rPr>
          <w:b/>
        </w:rPr>
        <w:t xml:space="preserve">5 </w:t>
      </w:r>
      <w:r w:rsidR="008E136E">
        <w:rPr>
          <w:b/>
        </w:rPr>
        <w:t>dots</w:t>
      </w:r>
    </w:p>
    <w:p w14:paraId="43BB3F3E" w14:textId="77777777" w:rsidR="00045116" w:rsidRDefault="00045116" w:rsidP="00045116"/>
    <w:p w14:paraId="017605CB" w14:textId="0951FFCF" w:rsidR="00045116" w:rsidRDefault="00045116" w:rsidP="00045116">
      <w:pPr>
        <w:pStyle w:val="ListParagraph"/>
        <w:numPr>
          <w:ilvl w:val="0"/>
          <w:numId w:val="4"/>
        </w:numPr>
      </w:pPr>
      <w:r>
        <w:t xml:space="preserve">ESSA requires states to take “more rigorous” action in certain identified schools (comprehensive) that do not improve.  What “more rigorous” action should be required in comprehensive schools that do not improve?  </w:t>
      </w:r>
      <w:r w:rsidRPr="002D5B61">
        <w:rPr>
          <w:b/>
        </w:rPr>
        <w:t xml:space="preserve">2 </w:t>
      </w:r>
      <w:r w:rsidR="008E136E">
        <w:rPr>
          <w:b/>
        </w:rPr>
        <w:t>dots</w:t>
      </w:r>
    </w:p>
    <w:p w14:paraId="27C8EF2D" w14:textId="77777777" w:rsidR="00045116" w:rsidRDefault="00045116" w:rsidP="00045116"/>
    <w:p w14:paraId="628C4E30" w14:textId="77777777" w:rsidR="00045116" w:rsidRPr="007B656E" w:rsidRDefault="00045116" w:rsidP="00045116">
      <w:pPr>
        <w:rPr>
          <w:u w:val="single"/>
        </w:rPr>
      </w:pPr>
      <w:r w:rsidRPr="007B656E">
        <w:rPr>
          <w:u w:val="single"/>
        </w:rPr>
        <w:t>Accountability questions</w:t>
      </w:r>
    </w:p>
    <w:p w14:paraId="3BA07FA9" w14:textId="1298320D" w:rsidR="00045116" w:rsidRPr="00045116" w:rsidRDefault="00045116" w:rsidP="00045116">
      <w:pPr>
        <w:pStyle w:val="ListParagraph"/>
        <w:numPr>
          <w:ilvl w:val="0"/>
          <w:numId w:val="5"/>
        </w:numPr>
        <w:rPr>
          <w:color w:val="000000"/>
        </w:rPr>
      </w:pPr>
      <w:r w:rsidRPr="00045116">
        <w:rPr>
          <w:color w:val="000000"/>
        </w:rPr>
        <w:t xml:space="preserve">What should be the primary purpose of accountability report cards?  </w:t>
      </w:r>
      <w:r w:rsidRPr="00045116">
        <w:rPr>
          <w:b/>
          <w:color w:val="000000"/>
        </w:rPr>
        <w:t xml:space="preserve">3 </w:t>
      </w:r>
      <w:r w:rsidR="008E136E">
        <w:rPr>
          <w:b/>
          <w:color w:val="000000"/>
        </w:rPr>
        <w:t>dots</w:t>
      </w:r>
    </w:p>
    <w:p w14:paraId="174E4E10" w14:textId="77777777" w:rsidR="00045116" w:rsidRPr="00045116" w:rsidRDefault="00045116" w:rsidP="00045116"/>
    <w:p w14:paraId="32158338" w14:textId="5F0136E1" w:rsidR="00045116" w:rsidRPr="00045116" w:rsidRDefault="00045116" w:rsidP="00045116">
      <w:pPr>
        <w:pStyle w:val="ListParagraph"/>
        <w:numPr>
          <w:ilvl w:val="0"/>
          <w:numId w:val="5"/>
        </w:numPr>
        <w:rPr>
          <w:color w:val="000000"/>
        </w:rPr>
      </w:pPr>
      <w:r w:rsidRPr="00045116">
        <w:rPr>
          <w:color w:val="000000"/>
        </w:rPr>
        <w:t xml:space="preserve">Who should be the primary audience for accountability report cards? Should DPI focus report card calculations and/or visual design for a specific audience or audiences, or for the broad list of stakeholders identified in the listening sessions?  </w:t>
      </w:r>
      <w:r w:rsidRPr="00045116">
        <w:rPr>
          <w:b/>
          <w:color w:val="000000"/>
        </w:rPr>
        <w:t xml:space="preserve">13 </w:t>
      </w:r>
      <w:r w:rsidR="008E136E">
        <w:rPr>
          <w:b/>
          <w:color w:val="000000"/>
        </w:rPr>
        <w:t>dots</w:t>
      </w:r>
    </w:p>
    <w:p w14:paraId="7E57D927" w14:textId="77777777" w:rsidR="00045116" w:rsidRPr="00045116" w:rsidRDefault="00045116" w:rsidP="00045116"/>
    <w:p w14:paraId="0B3296E5" w14:textId="30449A50" w:rsidR="00045116" w:rsidRPr="00045116" w:rsidRDefault="00045116" w:rsidP="00045116">
      <w:pPr>
        <w:pStyle w:val="ListParagraph"/>
        <w:numPr>
          <w:ilvl w:val="0"/>
          <w:numId w:val="5"/>
        </w:numPr>
        <w:rPr>
          <w:color w:val="000000"/>
        </w:rPr>
      </w:pPr>
      <w:r w:rsidRPr="00045116">
        <w:rPr>
          <w:color w:val="000000"/>
        </w:rPr>
        <w:t xml:space="preserve">ESSA requires accountability systems to include a measure or measures of school quality and/or student success.  This requirement raises some questions:  </w:t>
      </w:r>
      <w:r w:rsidRPr="00045116">
        <w:rPr>
          <w:b/>
          <w:color w:val="000000"/>
        </w:rPr>
        <w:t xml:space="preserve">24 </w:t>
      </w:r>
      <w:r w:rsidR="008E136E">
        <w:rPr>
          <w:b/>
          <w:color w:val="000000"/>
        </w:rPr>
        <w:t>dots</w:t>
      </w:r>
      <w:r w:rsidRPr="00045116">
        <w:rPr>
          <w:b/>
          <w:color w:val="000000"/>
        </w:rPr>
        <w:t xml:space="preserve"> for the series of questions in this grouping</w:t>
      </w:r>
    </w:p>
    <w:p w14:paraId="2ED38E0F" w14:textId="77777777" w:rsidR="00045116" w:rsidRPr="00045116" w:rsidRDefault="00045116" w:rsidP="00045116"/>
    <w:p w14:paraId="04FD9824" w14:textId="77777777" w:rsidR="00045116" w:rsidRPr="00045116" w:rsidRDefault="00045116" w:rsidP="00045116">
      <w:pPr>
        <w:pStyle w:val="ListParagraph"/>
        <w:numPr>
          <w:ilvl w:val="0"/>
          <w:numId w:val="6"/>
        </w:numPr>
        <w:ind w:left="1080"/>
        <w:rPr>
          <w:color w:val="000000"/>
        </w:rPr>
      </w:pPr>
      <w:r w:rsidRPr="00045116">
        <w:rPr>
          <w:color w:val="000000"/>
        </w:rPr>
        <w:t>What measures should DPI plan to include in the system in order to reflect key values of educational equity?</w:t>
      </w:r>
    </w:p>
    <w:p w14:paraId="0FC24385" w14:textId="77777777" w:rsidR="00045116" w:rsidRPr="00045116" w:rsidRDefault="00045116" w:rsidP="00045116">
      <w:pPr>
        <w:ind w:left="720"/>
      </w:pPr>
    </w:p>
    <w:p w14:paraId="2AA4FFC3" w14:textId="77777777" w:rsidR="00045116" w:rsidRPr="00045116" w:rsidRDefault="00045116" w:rsidP="00045116">
      <w:pPr>
        <w:pStyle w:val="ListParagraph"/>
        <w:numPr>
          <w:ilvl w:val="0"/>
          <w:numId w:val="6"/>
        </w:numPr>
        <w:ind w:left="1080"/>
        <w:rPr>
          <w:color w:val="000000"/>
        </w:rPr>
      </w:pPr>
      <w:r w:rsidRPr="00045116">
        <w:rPr>
          <w:color w:val="000000"/>
        </w:rPr>
        <w:t>What considerations should DPI take into account in selecting measures in order to support efforts to address inequalities while still treating schools as equitably as possible in the accountability system?</w:t>
      </w:r>
    </w:p>
    <w:p w14:paraId="16F4A965" w14:textId="77777777" w:rsidR="00045116" w:rsidRPr="00045116" w:rsidRDefault="00045116" w:rsidP="00045116">
      <w:pPr>
        <w:ind w:left="720"/>
      </w:pPr>
    </w:p>
    <w:p w14:paraId="43133B18" w14:textId="77777777" w:rsidR="00045116" w:rsidRPr="00045116" w:rsidRDefault="00045116" w:rsidP="00045116">
      <w:pPr>
        <w:pStyle w:val="ListParagraph"/>
        <w:numPr>
          <w:ilvl w:val="0"/>
          <w:numId w:val="6"/>
        </w:numPr>
        <w:ind w:left="1080"/>
        <w:rPr>
          <w:color w:val="000000"/>
        </w:rPr>
      </w:pPr>
      <w:r w:rsidRPr="00045116">
        <w:rPr>
          <w:color w:val="000000"/>
        </w:rPr>
        <w:t>Should the measures look different for different grade spans (e.g., K-5, 6-8, K-8, 9-12)?</w:t>
      </w:r>
    </w:p>
    <w:p w14:paraId="53CED26C" w14:textId="77777777" w:rsidR="00045116" w:rsidRPr="00045116" w:rsidRDefault="00045116" w:rsidP="00045116"/>
    <w:p w14:paraId="406B56BF" w14:textId="3B1AA43D" w:rsidR="00045116" w:rsidRPr="00045116" w:rsidRDefault="00045116" w:rsidP="00045116">
      <w:pPr>
        <w:pStyle w:val="ListParagraph"/>
        <w:numPr>
          <w:ilvl w:val="0"/>
          <w:numId w:val="5"/>
        </w:numPr>
        <w:rPr>
          <w:b/>
          <w:color w:val="000000"/>
        </w:rPr>
      </w:pPr>
      <w:r w:rsidRPr="00045116">
        <w:rPr>
          <w:color w:val="000000"/>
        </w:rPr>
        <w:t xml:space="preserve">Stakeholders have identified challenges with contradictory laws regarding test preparation.  On one hand, test participation is seen as an equity issue in that all students should have access to statewide, standardized assessment results in order to understand their performance in a larger context; on the other hand, parental rights are valued.  Additionally, assessment results are an integral part of report card calculations and are necessary to accurately report on school and district performance.  How should report card calculations reflect these values?  </w:t>
      </w:r>
      <w:r w:rsidRPr="00045116">
        <w:rPr>
          <w:b/>
          <w:color w:val="000000"/>
        </w:rPr>
        <w:t xml:space="preserve">0 </w:t>
      </w:r>
      <w:r w:rsidR="008E136E">
        <w:rPr>
          <w:b/>
          <w:color w:val="000000"/>
        </w:rPr>
        <w:t>dots</w:t>
      </w:r>
    </w:p>
    <w:p w14:paraId="70EBAB3C" w14:textId="77777777" w:rsidR="00617E0C" w:rsidRDefault="00617E0C" w:rsidP="00403F4F">
      <w:pPr>
        <w:rPr>
          <w:rFonts w:ascii="Times New Roman" w:hAnsi="Times New Roman"/>
        </w:rPr>
      </w:pPr>
    </w:p>
    <w:p w14:paraId="0B7AA23D" w14:textId="77777777" w:rsidR="008E136E" w:rsidRDefault="008E136E" w:rsidP="00403F4F">
      <w:pPr>
        <w:rPr>
          <w:rFonts w:ascii="Times New Roman" w:hAnsi="Times New Roman"/>
        </w:rPr>
      </w:pPr>
    </w:p>
    <w:p w14:paraId="322D35ED" w14:textId="77777777" w:rsidR="008E136E" w:rsidRDefault="008E136E" w:rsidP="00403F4F">
      <w:pPr>
        <w:rPr>
          <w:rFonts w:ascii="Times New Roman" w:hAnsi="Times New Roman"/>
        </w:rPr>
      </w:pPr>
    </w:p>
    <w:p w14:paraId="621EAE4C" w14:textId="26DE1DE2" w:rsidR="008E136E" w:rsidRPr="008E136E" w:rsidRDefault="008E136E" w:rsidP="008E136E">
      <w:pPr>
        <w:tabs>
          <w:tab w:val="left" w:pos="1440"/>
        </w:tabs>
        <w:jc w:val="center"/>
        <w:rPr>
          <w:rFonts w:ascii="Calibri" w:hAnsi="Calibri"/>
          <w:b/>
          <w:sz w:val="22"/>
          <w:szCs w:val="22"/>
        </w:rPr>
      </w:pPr>
      <w:r>
        <w:rPr>
          <w:rFonts w:ascii="Calibri" w:hAnsi="Calibri"/>
          <w:b/>
          <w:sz w:val="22"/>
          <w:szCs w:val="22"/>
        </w:rPr>
        <w:t>Next</w:t>
      </w:r>
      <w:r w:rsidRPr="008E136E">
        <w:rPr>
          <w:rFonts w:ascii="Calibri" w:hAnsi="Calibri"/>
          <w:b/>
          <w:sz w:val="22"/>
          <w:szCs w:val="22"/>
        </w:rPr>
        <w:t xml:space="preserve"> </w:t>
      </w:r>
      <w:r w:rsidRPr="008E136E">
        <w:rPr>
          <w:rFonts w:ascii="Calibri" w:hAnsi="Calibri"/>
          <w:b/>
          <w:i/>
          <w:sz w:val="22"/>
          <w:szCs w:val="22"/>
        </w:rPr>
        <w:t>Equity in the Every Student Succeeds Act Stakeholder Council</w:t>
      </w:r>
      <w:r w:rsidRPr="008E136E">
        <w:rPr>
          <w:rFonts w:ascii="Calibri" w:hAnsi="Calibri"/>
          <w:b/>
          <w:sz w:val="22"/>
          <w:szCs w:val="22"/>
        </w:rPr>
        <w:t xml:space="preserve"> Meeting:  </w:t>
      </w:r>
      <w:r w:rsidRPr="008E136E">
        <w:rPr>
          <w:rFonts w:ascii="Calibri" w:hAnsi="Calibri"/>
          <w:sz w:val="22"/>
          <w:szCs w:val="22"/>
        </w:rPr>
        <w:t>September 27, 2016</w:t>
      </w:r>
    </w:p>
    <w:p w14:paraId="06B73078" w14:textId="77777777" w:rsidR="008E136E" w:rsidRPr="00011F19" w:rsidRDefault="008E136E" w:rsidP="00403F4F">
      <w:pPr>
        <w:rPr>
          <w:rFonts w:ascii="Times New Roman" w:hAnsi="Times New Roman"/>
        </w:rPr>
      </w:pPr>
    </w:p>
    <w:sectPr w:rsidR="008E136E" w:rsidRPr="00011F19" w:rsidSect="00C211CD">
      <w:headerReference w:type="first" r:id="rId9"/>
      <w:footerReference w:type="first" r:id="rId10"/>
      <w:type w:val="continuous"/>
      <w:pgSz w:w="12240" w:h="15840" w:code="1"/>
      <w:pgMar w:top="1440" w:right="1440" w:bottom="1440"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CDC22" w14:textId="77777777" w:rsidR="00DE6B8B" w:rsidRDefault="00DE6B8B" w:rsidP="00617E0C">
      <w:r>
        <w:separator/>
      </w:r>
    </w:p>
  </w:endnote>
  <w:endnote w:type="continuationSeparator" w:id="0">
    <w:p w14:paraId="12D29A99" w14:textId="77777777" w:rsidR="00DE6B8B" w:rsidRDefault="00DE6B8B"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74D98" w14:textId="77777777" w:rsidR="00872209" w:rsidRPr="00695571" w:rsidRDefault="00872209" w:rsidP="0082645C">
    <w:pPr>
      <w:pBdr>
        <w:top w:val="single" w:sz="4" w:space="1" w:color="auto"/>
      </w:pBdr>
      <w:ind w:left="-720" w:right="-720"/>
      <w:jc w:val="center"/>
      <w:rPr>
        <w:rFonts w:ascii="Arial" w:hAnsi="Arial" w:cs="Arial"/>
        <w:sz w:val="18"/>
        <w:szCs w:val="18"/>
      </w:rPr>
    </w:pPr>
    <w:r w:rsidRPr="00695571">
      <w:rPr>
        <w:rFonts w:ascii="Arial" w:hAnsi="Arial" w:cs="Arial"/>
        <w:sz w:val="18"/>
        <w:szCs w:val="18"/>
      </w:rPr>
      <w:t xml:space="preserve">PO Box 7841, Madison, WI  53707-7841  </w:t>
    </w:r>
    <w:r w:rsidRPr="00695571">
      <w:rPr>
        <w:rFonts w:ascii="Arial" w:hAnsi="Arial" w:cs="Arial"/>
        <w:position w:val="3"/>
        <w:sz w:val="18"/>
        <w:szCs w:val="18"/>
      </w:rPr>
      <w:sym w:font="Wingdings" w:char="F06E"/>
    </w:r>
    <w:r w:rsidRPr="00695571">
      <w:rPr>
        <w:rFonts w:ascii="Arial" w:hAnsi="Arial" w:cs="Arial"/>
        <w:sz w:val="18"/>
        <w:szCs w:val="18"/>
      </w:rPr>
      <w:t xml:space="preserve">  125 South Webster Street, Madison, WI  53703</w:t>
    </w:r>
  </w:p>
  <w:p w14:paraId="50D8C9F0" w14:textId="77777777" w:rsidR="00872209" w:rsidRPr="00695571" w:rsidRDefault="00872209" w:rsidP="0082645C">
    <w:pPr>
      <w:pStyle w:val="Footer"/>
      <w:tabs>
        <w:tab w:val="clear" w:pos="4320"/>
        <w:tab w:val="clear" w:pos="8640"/>
      </w:tabs>
      <w:ind w:left="-720" w:right="-720"/>
      <w:jc w:val="center"/>
      <w:rPr>
        <w:rFonts w:ascii="Arial" w:hAnsi="Arial" w:cs="Arial"/>
        <w:szCs w:val="18"/>
      </w:rPr>
    </w:pPr>
    <w:r w:rsidRPr="00695571">
      <w:rPr>
        <w:rFonts w:ascii="Arial" w:hAnsi="Arial" w:cs="Arial"/>
        <w:szCs w:val="18"/>
      </w:rPr>
      <w:t xml:space="preserve">(608) 266-3390  </w:t>
    </w:r>
    <w:r w:rsidRPr="00695571">
      <w:rPr>
        <w:rFonts w:ascii="Arial" w:hAnsi="Arial" w:cs="Arial"/>
        <w:position w:val="3"/>
        <w:szCs w:val="18"/>
      </w:rPr>
      <w:sym w:font="Wingdings" w:char="F06E"/>
    </w:r>
    <w:r w:rsidRPr="00695571">
      <w:rPr>
        <w:rFonts w:ascii="Arial" w:hAnsi="Arial" w:cs="Arial"/>
        <w:szCs w:val="18"/>
      </w:rPr>
      <w:t xml:space="preserve">  (800) 441-4563</w:t>
    </w:r>
    <w:r w:rsidR="00226B9F" w:rsidRPr="00695571">
      <w:rPr>
        <w:rFonts w:ascii="Arial" w:hAnsi="Arial" w:cs="Arial"/>
        <w:szCs w:val="18"/>
      </w:rPr>
      <w:t xml:space="preserve"> toll free</w:t>
    </w:r>
    <w:r w:rsidRPr="00695571">
      <w:rPr>
        <w:rFonts w:ascii="Arial" w:hAnsi="Arial" w:cs="Arial"/>
        <w:szCs w:val="18"/>
      </w:rPr>
      <w:t xml:space="preserve">  </w:t>
    </w:r>
    <w:r w:rsidRPr="00695571">
      <w:rPr>
        <w:rFonts w:ascii="Arial" w:hAnsi="Arial" w:cs="Arial"/>
        <w:position w:val="3"/>
        <w:szCs w:val="18"/>
      </w:rPr>
      <w:sym w:font="Wingdings" w:char="F06E"/>
    </w:r>
    <w:r w:rsidRPr="00695571">
      <w:rPr>
        <w:rFonts w:ascii="Arial" w:hAnsi="Arial" w:cs="Arial"/>
        <w:szCs w:val="18"/>
      </w:rPr>
      <w:t xml:space="preserve">  dpi.wi.gov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7E2D9" w14:textId="77777777" w:rsidR="00DE6B8B" w:rsidRDefault="00DE6B8B" w:rsidP="00617E0C">
      <w:r>
        <w:separator/>
      </w:r>
    </w:p>
  </w:footnote>
  <w:footnote w:type="continuationSeparator" w:id="0">
    <w:p w14:paraId="2393E19A" w14:textId="77777777" w:rsidR="00DE6B8B" w:rsidRDefault="00DE6B8B" w:rsidP="00617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605" w:type="dxa"/>
      <w:tblBorders>
        <w:bottom w:val="single" w:sz="4" w:space="0" w:color="auto"/>
      </w:tblBorders>
      <w:tblLayout w:type="fixed"/>
      <w:tblCellMar>
        <w:left w:w="115" w:type="dxa"/>
        <w:right w:w="115" w:type="dxa"/>
      </w:tblCellMar>
      <w:tblLook w:val="01E0" w:firstRow="1" w:lastRow="1" w:firstColumn="1" w:lastColumn="1" w:noHBand="0" w:noVBand="0"/>
    </w:tblPr>
    <w:tblGrid>
      <w:gridCol w:w="2880"/>
      <w:gridCol w:w="7920"/>
    </w:tblGrid>
    <w:tr w:rsidR="00872209" w14:paraId="3E0200DB" w14:textId="77777777">
      <w:trPr>
        <w:trHeight w:hRule="exact" w:val="1411"/>
      </w:trPr>
      <w:tc>
        <w:tcPr>
          <w:tcW w:w="2880" w:type="dxa"/>
        </w:tcPr>
        <w:p w14:paraId="7E7547E0" w14:textId="4290AAB5" w:rsidR="00872209" w:rsidRDefault="00ED2F19" w:rsidP="00617E0C">
          <w:r>
            <w:rPr>
              <w:noProof/>
            </w:rPr>
            <w:drawing>
              <wp:inline distT="0" distB="0" distL="0" distR="0" wp14:anchorId="6929FB3D" wp14:editId="34C9F389">
                <wp:extent cx="1676400" cy="866775"/>
                <wp:effectExtent l="0" t="0" r="0" b="9525"/>
                <wp:docPr id="1" name="Picture 1" descr="dpi_I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_I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66775"/>
                        </a:xfrm>
                        <a:prstGeom prst="rect">
                          <a:avLst/>
                        </a:prstGeom>
                        <a:noFill/>
                        <a:ln>
                          <a:noFill/>
                        </a:ln>
                      </pic:spPr>
                    </pic:pic>
                  </a:graphicData>
                </a:graphic>
              </wp:inline>
            </w:drawing>
          </w:r>
        </w:p>
      </w:tc>
      <w:tc>
        <w:tcPr>
          <w:tcW w:w="7920" w:type="dxa"/>
          <w:vAlign w:val="bottom"/>
        </w:tcPr>
        <w:p w14:paraId="745362CB" w14:textId="77777777" w:rsidR="00872209" w:rsidRPr="0082645C" w:rsidRDefault="00872209" w:rsidP="0082645C">
          <w:pPr>
            <w:spacing w:after="40"/>
            <w:jc w:val="right"/>
            <w:rPr>
              <w:rFonts w:ascii="Tahoma" w:hAnsi="Tahoma" w:cs="Tahoma"/>
              <w:sz w:val="22"/>
              <w:szCs w:val="22"/>
            </w:rPr>
          </w:pPr>
          <w:r w:rsidRPr="0082645C">
            <w:rPr>
              <w:rFonts w:ascii="Tahoma" w:hAnsi="Tahoma" w:cs="Tahoma"/>
              <w:sz w:val="22"/>
              <w:szCs w:val="22"/>
            </w:rPr>
            <w:t>Tony Evers, PhD, State Superintendent</w:t>
          </w:r>
        </w:p>
      </w:tc>
    </w:tr>
  </w:tbl>
  <w:p w14:paraId="6DE795D1" w14:textId="77777777" w:rsidR="00872209" w:rsidRPr="00617E0C" w:rsidRDefault="00872209" w:rsidP="00617E0C">
    <w:pPr>
      <w:pStyle w:val="Header"/>
      <w:tabs>
        <w:tab w:val="clear" w:pos="4320"/>
        <w:tab w:val="clear" w:pos="8640"/>
      </w:tabs>
      <w:rPr>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0E440753"/>
    <w:multiLevelType w:val="hybridMultilevel"/>
    <w:tmpl w:val="64D83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C64E94"/>
    <w:multiLevelType w:val="hybridMultilevel"/>
    <w:tmpl w:val="803842A0"/>
    <w:lvl w:ilvl="0" w:tplc="5F0A85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15:restartNumberingAfterBreak="0">
    <w:nsid w:val="706229C0"/>
    <w:multiLevelType w:val="hybridMultilevel"/>
    <w:tmpl w:val="A0929CDC"/>
    <w:lvl w:ilvl="0" w:tplc="2102B4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gatureDocument" w:val="0"/>
  </w:docVars>
  <w:rsids>
    <w:rsidRoot w:val="00584EB6"/>
    <w:rsid w:val="00011F19"/>
    <w:rsid w:val="000124E5"/>
    <w:rsid w:val="00045116"/>
    <w:rsid w:val="00096192"/>
    <w:rsid w:val="001743D5"/>
    <w:rsid w:val="00226B9F"/>
    <w:rsid w:val="00311990"/>
    <w:rsid w:val="003245E0"/>
    <w:rsid w:val="003D1606"/>
    <w:rsid w:val="003E58EF"/>
    <w:rsid w:val="003F2588"/>
    <w:rsid w:val="00403F4F"/>
    <w:rsid w:val="004160D2"/>
    <w:rsid w:val="00475B2A"/>
    <w:rsid w:val="004D3EF2"/>
    <w:rsid w:val="00511443"/>
    <w:rsid w:val="00584EB6"/>
    <w:rsid w:val="00590E50"/>
    <w:rsid w:val="005E74DA"/>
    <w:rsid w:val="00617E0C"/>
    <w:rsid w:val="00635E7A"/>
    <w:rsid w:val="00671684"/>
    <w:rsid w:val="00695571"/>
    <w:rsid w:val="00715390"/>
    <w:rsid w:val="00716CF0"/>
    <w:rsid w:val="0082645C"/>
    <w:rsid w:val="00872209"/>
    <w:rsid w:val="008E136E"/>
    <w:rsid w:val="00906A9B"/>
    <w:rsid w:val="00A31F6E"/>
    <w:rsid w:val="00AA05EB"/>
    <w:rsid w:val="00B43C1C"/>
    <w:rsid w:val="00B46060"/>
    <w:rsid w:val="00B6485C"/>
    <w:rsid w:val="00BA6EFC"/>
    <w:rsid w:val="00BB5D5A"/>
    <w:rsid w:val="00C211CD"/>
    <w:rsid w:val="00CE53E1"/>
    <w:rsid w:val="00D42346"/>
    <w:rsid w:val="00DE6B8B"/>
    <w:rsid w:val="00E35082"/>
    <w:rsid w:val="00E76521"/>
    <w:rsid w:val="00EB7989"/>
    <w:rsid w:val="00ED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EA221"/>
  <w15:chartTrackingRefBased/>
  <w15:docId w15:val="{6F551323-590B-4FC5-80BB-8B3F95F0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rsid w:val="004673EF"/>
    <w:pPr>
      <w:tabs>
        <w:tab w:val="center" w:pos="4320"/>
        <w:tab w:val="right" w:pos="8640"/>
      </w:tabs>
    </w:pPr>
    <w:rPr>
      <w:rFonts w:ascii="Tahoma" w:hAnsi="Tahoma"/>
      <w:sz w:val="18"/>
    </w:rPr>
  </w:style>
  <w:style w:type="character" w:styleId="Hyperlink">
    <w:name w:val="Hyperlink"/>
    <w:basedOn w:val="DefaultParagraphFont"/>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basedOn w:val="DefaultParagraphFont"/>
    <w:link w:val="BalloonText"/>
    <w:uiPriority w:val="99"/>
    <w:semiHidden/>
    <w:rsid w:val="00226B9F"/>
    <w:rPr>
      <w:rFonts w:ascii="Tahoma" w:hAnsi="Tahoma" w:cs="Tahoma"/>
      <w:color w:val="000000"/>
      <w:sz w:val="16"/>
      <w:szCs w:val="16"/>
    </w:rPr>
  </w:style>
  <w:style w:type="character" w:styleId="CommentReference">
    <w:name w:val="annotation reference"/>
    <w:uiPriority w:val="99"/>
    <w:semiHidden/>
    <w:unhideWhenUsed/>
    <w:rsid w:val="00045116"/>
    <w:rPr>
      <w:sz w:val="18"/>
      <w:szCs w:val="18"/>
    </w:rPr>
  </w:style>
  <w:style w:type="paragraph" w:styleId="CommentText">
    <w:name w:val="annotation text"/>
    <w:basedOn w:val="Normal"/>
    <w:link w:val="CommentTextChar"/>
    <w:uiPriority w:val="99"/>
    <w:semiHidden/>
    <w:unhideWhenUsed/>
    <w:rsid w:val="00045116"/>
    <w:pPr>
      <w:widowControl/>
      <w:autoSpaceDE/>
      <w:autoSpaceDN/>
      <w:adjustRightInd/>
    </w:pPr>
    <w:rPr>
      <w:rFonts w:ascii="Cambria" w:eastAsia="MS Mincho" w:hAnsi="Cambria"/>
      <w:color w:val="auto"/>
    </w:rPr>
  </w:style>
  <w:style w:type="character" w:customStyle="1" w:styleId="CommentTextChar">
    <w:name w:val="Comment Text Char"/>
    <w:basedOn w:val="DefaultParagraphFont"/>
    <w:link w:val="CommentText"/>
    <w:uiPriority w:val="99"/>
    <w:semiHidden/>
    <w:rsid w:val="00045116"/>
    <w:rPr>
      <w:rFonts w:ascii="Cambria" w:eastAsia="MS Mincho" w:hAnsi="Cambria"/>
      <w:sz w:val="24"/>
      <w:szCs w:val="24"/>
    </w:rPr>
  </w:style>
  <w:style w:type="paragraph" w:styleId="ListParagraph">
    <w:name w:val="List Paragraph"/>
    <w:basedOn w:val="Normal"/>
    <w:uiPriority w:val="34"/>
    <w:qFormat/>
    <w:rsid w:val="00045116"/>
    <w:pPr>
      <w:widowControl/>
      <w:autoSpaceDE/>
      <w:autoSpaceDN/>
      <w:adjustRightInd/>
      <w:ind w:left="720"/>
      <w:contextualSpacing/>
    </w:pPr>
    <w:rPr>
      <w:rFonts w:ascii="Cambria" w:eastAsia="MS Mincho" w:hAnsi="Cambr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pi.wi.gov/sites/default/files/imce/statesupt/images/08%2031%2016equitywordle.png" TargetMode="External"/><Relationship Id="rId3" Type="http://schemas.openxmlformats.org/officeDocument/2006/relationships/settings" Target="settings.xml"/><Relationship Id="rId7" Type="http://schemas.openxmlformats.org/officeDocument/2006/relationships/hyperlink" Target="http://dpi.wi.gov/sites/default/files/imce/statesupt/ppt/Council%20Meet%201%20PPT.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Schwark, Samantha M.   DPI</dc:creator>
  <cp:keywords/>
  <cp:lastModifiedBy>McCarthy, Thomas G.  DPI</cp:lastModifiedBy>
  <cp:revision>2</cp:revision>
  <cp:lastPrinted>2014-03-27T16:56:00Z</cp:lastPrinted>
  <dcterms:created xsi:type="dcterms:W3CDTF">2016-09-19T14:21:00Z</dcterms:created>
  <dcterms:modified xsi:type="dcterms:W3CDTF">2016-09-19T14:21:00Z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1822479711</vt:i4>
  </property>
  <property fmtid="{D5CDD505-2E9C-101B-9397-08002B2CF9AE}" pid="3" name="_NewReviewCycle">
    <vt:lpwstr/>
  </property>
  <property fmtid="{D5CDD505-2E9C-101B-9397-08002B2CF9AE}" pid="4" name="_EmailSubject">
    <vt:lpwstr>Equity Council stuff</vt:lpwstr>
  </property>
  <property fmtid="{D5CDD505-2E9C-101B-9397-08002B2CF9AE}" pid="5" name="_AuthorEmail">
    <vt:lpwstr>Samantha.Schwark@dpi.wi.gov</vt:lpwstr>
  </property>
  <property fmtid="{D5CDD505-2E9C-101B-9397-08002B2CF9AE}" pid="6" name="_AuthorEmailDisplayName">
    <vt:lpwstr>Schwark, Samantha M.   DPI</vt:lpwstr>
  </property>
  <property fmtid="{D5CDD505-2E9C-101B-9397-08002B2CF9AE}" pid="7" name="_ReviewingToolsShownOnce">
    <vt:lpwstr/>
  </property>
</Properties>
</file>