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02C50" w14:textId="77777777" w:rsidR="00910E14" w:rsidRDefault="00910E14">
      <w:pPr>
        <w:jc w:val="center"/>
        <w:rPr>
          <w:rFonts w:ascii="Lato" w:eastAsia="Lato" w:hAnsi="Lato" w:cs="Lato"/>
          <w:b/>
          <w:sz w:val="26"/>
          <w:szCs w:val="26"/>
        </w:rPr>
      </w:pPr>
    </w:p>
    <w:p w14:paraId="3560C1E5" w14:textId="77777777" w:rsidR="00910E14" w:rsidRDefault="00910E14">
      <w:pPr>
        <w:jc w:val="center"/>
        <w:rPr>
          <w:rFonts w:ascii="Lato" w:eastAsia="Lato" w:hAnsi="Lato" w:cs="Lato"/>
        </w:rPr>
      </w:pPr>
    </w:p>
    <w:p w14:paraId="5BFB36F2" w14:textId="77777777" w:rsidR="00910E14" w:rsidRDefault="00910E14">
      <w:pPr>
        <w:rPr>
          <w:rFonts w:ascii="Lato" w:eastAsia="Lato" w:hAnsi="Lato" w:cs="Lato"/>
          <w:highlight w:val="white"/>
        </w:rPr>
      </w:pPr>
    </w:p>
    <w:p w14:paraId="4F77CA10" w14:textId="2E1C1E9E" w:rsidR="00910E14" w:rsidRDefault="00BF3B43">
      <w:pPr>
        <w:rPr>
          <w:rFonts w:ascii="Lato" w:eastAsia="Lato" w:hAnsi="Lato" w:cs="Lato"/>
          <w:color w:val="000000"/>
          <w:sz w:val="22"/>
          <w:szCs w:val="22"/>
          <w:highlight w:val="white"/>
        </w:rPr>
      </w:pPr>
      <w:r>
        <w:rPr>
          <w:rFonts w:ascii="Lato" w:eastAsia="Lato" w:hAnsi="Lato" w:cs="Lato"/>
          <w:color w:val="000000"/>
          <w:sz w:val="22"/>
          <w:szCs w:val="22"/>
          <w:highlight w:val="white"/>
        </w:rPr>
        <w:t xml:space="preserve">ESEA Section 4106(e)(1)(E) requires Local </w:t>
      </w:r>
      <w:r>
        <w:rPr>
          <w:rFonts w:ascii="Lato" w:eastAsia="Lato" w:hAnsi="Lato" w:cs="Lato"/>
          <w:sz w:val="22"/>
          <w:szCs w:val="22"/>
          <w:highlight w:val="white"/>
        </w:rPr>
        <w:t>E</w:t>
      </w:r>
      <w:r>
        <w:rPr>
          <w:rFonts w:ascii="Lato" w:eastAsia="Lato" w:hAnsi="Lato" w:cs="Lato"/>
          <w:color w:val="000000"/>
          <w:sz w:val="22"/>
          <w:szCs w:val="22"/>
          <w:highlight w:val="white"/>
        </w:rPr>
        <w:t xml:space="preserve">ducational </w:t>
      </w:r>
      <w:r>
        <w:rPr>
          <w:rFonts w:ascii="Lato" w:eastAsia="Lato" w:hAnsi="Lato" w:cs="Lato"/>
          <w:sz w:val="22"/>
          <w:szCs w:val="22"/>
          <w:highlight w:val="white"/>
        </w:rPr>
        <w:t>Agencies</w:t>
      </w:r>
      <w:r>
        <w:rPr>
          <w:rFonts w:ascii="Lato" w:eastAsia="Lato" w:hAnsi="Lato" w:cs="Lato"/>
          <w:color w:val="000000"/>
          <w:sz w:val="22"/>
          <w:szCs w:val="22"/>
          <w:highlight w:val="white"/>
        </w:rPr>
        <w:t xml:space="preserve"> (LEAs), as part of their Title IV-A application, to provide a plan for periodically evaluating the effectiveness of the funded activities. Beginning in 2021-22, documentation for this requirement was included in the Title IV-A application in WISEgrants</w:t>
      </w:r>
      <w:r w:rsidR="00DE5DE3">
        <w:rPr>
          <w:rFonts w:ascii="Lato" w:eastAsia="Lato" w:hAnsi="Lato" w:cs="Lato"/>
          <w:color w:val="000000"/>
          <w:sz w:val="22"/>
          <w:szCs w:val="22"/>
          <w:highlight w:val="white"/>
        </w:rPr>
        <w:t xml:space="preserve"> as part of universal monitoring</w:t>
      </w:r>
      <w:r>
        <w:rPr>
          <w:rFonts w:ascii="Lato" w:eastAsia="Lato" w:hAnsi="Lato" w:cs="Lato"/>
          <w:color w:val="000000"/>
          <w:sz w:val="22"/>
          <w:szCs w:val="22"/>
          <w:highlight w:val="white"/>
        </w:rPr>
        <w:t xml:space="preserve">. The 2022-23 application will </w:t>
      </w:r>
      <w:r w:rsidR="00DE5DE3">
        <w:rPr>
          <w:rFonts w:ascii="Lato" w:eastAsia="Lato" w:hAnsi="Lato" w:cs="Lato"/>
          <w:color w:val="000000"/>
          <w:sz w:val="22"/>
          <w:szCs w:val="22"/>
          <w:highlight w:val="white"/>
        </w:rPr>
        <w:t>streamline this requirement</w:t>
      </w:r>
      <w:r>
        <w:rPr>
          <w:rFonts w:ascii="Lato" w:eastAsia="Lato" w:hAnsi="Lato" w:cs="Lato"/>
          <w:sz w:val="22"/>
          <w:szCs w:val="22"/>
          <w:highlight w:val="white"/>
        </w:rPr>
        <w:t xml:space="preserve"> with a SMARTIE goal.</w:t>
      </w:r>
    </w:p>
    <w:p w14:paraId="418FB416" w14:textId="77777777" w:rsidR="00910E14" w:rsidRDefault="00910E14">
      <w:pPr>
        <w:rPr>
          <w:rFonts w:ascii="Lato" w:eastAsia="Lato" w:hAnsi="Lato" w:cs="Lato"/>
          <w:color w:val="000000"/>
          <w:sz w:val="22"/>
          <w:szCs w:val="22"/>
          <w:highlight w:val="white"/>
        </w:rPr>
      </w:pPr>
    </w:p>
    <w:p w14:paraId="40FC7587" w14:textId="79F73956" w:rsidR="00910E14" w:rsidRDefault="00BF3B43">
      <w:pPr>
        <w:rPr>
          <w:rFonts w:ascii="Lato" w:eastAsia="Lato" w:hAnsi="Lato" w:cs="Lato"/>
          <w:i/>
          <w:color w:val="000000"/>
          <w:sz w:val="22"/>
          <w:szCs w:val="22"/>
          <w:highlight w:val="white"/>
        </w:rPr>
      </w:pPr>
      <w:r>
        <w:rPr>
          <w:rFonts w:ascii="Lato" w:eastAsia="Lato" w:hAnsi="Lato" w:cs="Lato"/>
          <w:i/>
          <w:color w:val="000000"/>
          <w:sz w:val="22"/>
          <w:szCs w:val="22"/>
          <w:highlight w:val="white"/>
        </w:rPr>
        <w:t xml:space="preserve">For </w:t>
      </w:r>
      <w:r>
        <w:rPr>
          <w:rFonts w:ascii="Lato" w:eastAsia="Lato" w:hAnsi="Lato" w:cs="Lato"/>
          <w:i/>
          <w:sz w:val="22"/>
          <w:szCs w:val="22"/>
          <w:highlight w:val="white"/>
        </w:rPr>
        <w:t>at least one</w:t>
      </w:r>
      <w:r>
        <w:rPr>
          <w:rFonts w:ascii="Lato" w:eastAsia="Lato" w:hAnsi="Lato" w:cs="Lato"/>
          <w:i/>
          <w:color w:val="000000"/>
          <w:sz w:val="22"/>
          <w:szCs w:val="22"/>
          <w:highlight w:val="white"/>
        </w:rPr>
        <w:t xml:space="preserve"> program type</w:t>
      </w:r>
      <w:r>
        <w:rPr>
          <w:rFonts w:ascii="Lato" w:eastAsia="Lato" w:hAnsi="Lato" w:cs="Lato"/>
          <w:color w:val="000000"/>
          <w:sz w:val="22"/>
          <w:szCs w:val="22"/>
          <w:highlight w:val="white"/>
        </w:rPr>
        <w:t xml:space="preserve"> included in the budget (well-rounded education, safe and healthy students, effective use of technology), applicants are asked to provide a narrative on how Title IV-A funded activities will be periodically evaluated for effectiveness.</w:t>
      </w:r>
      <w:r>
        <w:rPr>
          <w:rFonts w:ascii="Lato" w:eastAsia="Lato" w:hAnsi="Lato" w:cs="Lato"/>
          <w:i/>
          <w:color w:val="000000"/>
          <w:sz w:val="22"/>
          <w:szCs w:val="22"/>
          <w:highlight w:val="white"/>
        </w:rPr>
        <w:t xml:space="preserve"> </w:t>
      </w:r>
      <w:r>
        <w:rPr>
          <w:rFonts w:ascii="Lato" w:eastAsia="Lato" w:hAnsi="Lato" w:cs="Lato"/>
          <w:sz w:val="22"/>
          <w:szCs w:val="22"/>
          <w:highlight w:val="white"/>
        </w:rPr>
        <w:t>The</w:t>
      </w:r>
      <w:r>
        <w:rPr>
          <w:rFonts w:ascii="Lato" w:eastAsia="Lato" w:hAnsi="Lato" w:cs="Lato"/>
          <w:color w:val="000000"/>
          <w:sz w:val="22"/>
          <w:szCs w:val="22"/>
          <w:highlight w:val="white"/>
        </w:rPr>
        <w:t xml:space="preserve"> narrative(s) m</w:t>
      </w:r>
      <w:r>
        <w:rPr>
          <w:rFonts w:ascii="Lato" w:eastAsia="Lato" w:hAnsi="Lato" w:cs="Lato"/>
          <w:sz w:val="22"/>
          <w:szCs w:val="22"/>
          <w:highlight w:val="white"/>
        </w:rPr>
        <w:t xml:space="preserve">ust include a SMARTIE goal that can be used to document the impact of funded activities.  </w:t>
      </w:r>
      <w:r>
        <w:rPr>
          <w:rFonts w:ascii="Lato" w:eastAsia="Lato" w:hAnsi="Lato" w:cs="Lato"/>
          <w:i/>
          <w:sz w:val="22"/>
          <w:szCs w:val="22"/>
          <w:highlight w:val="white"/>
        </w:rPr>
        <w:t>The SMARTIE goal(s) for each district ties directly to the public reporting requirement in the federal statute. Districts will receive a brief survey at the end of the project period to report Title IV-A outcomes.</w:t>
      </w:r>
      <w:r w:rsidR="00DE5DE3">
        <w:rPr>
          <w:rFonts w:ascii="Lato" w:eastAsia="Lato" w:hAnsi="Lato" w:cs="Lato"/>
          <w:i/>
          <w:sz w:val="22"/>
          <w:szCs w:val="22"/>
          <w:highlight w:val="white"/>
        </w:rPr>
        <w:t xml:space="preserve"> The project period for the 2022-23 allocation is July 1, 2022-September 30, 2024.</w:t>
      </w:r>
    </w:p>
    <w:p w14:paraId="30358519" w14:textId="77777777" w:rsidR="00910E14" w:rsidRDefault="00910E14">
      <w:pPr>
        <w:rPr>
          <w:rFonts w:ascii="Lato" w:eastAsia="Lato" w:hAnsi="Lato" w:cs="Lato"/>
          <w:i/>
          <w:color w:val="000000"/>
          <w:sz w:val="22"/>
          <w:szCs w:val="22"/>
          <w:highlight w:val="white"/>
        </w:rPr>
      </w:pPr>
    </w:p>
    <w:p w14:paraId="103FEDBF" w14:textId="77777777" w:rsidR="00910E14" w:rsidRDefault="00BF3B43">
      <w:pPr>
        <w:rPr>
          <w:rFonts w:ascii="Lato" w:eastAsia="Lato" w:hAnsi="Lato" w:cs="Lato"/>
          <w:sz w:val="22"/>
          <w:szCs w:val="22"/>
          <w:highlight w:val="white"/>
        </w:rPr>
      </w:pPr>
      <w:r>
        <w:rPr>
          <w:rFonts w:ascii="Lato" w:eastAsia="Lato" w:hAnsi="Lato" w:cs="Lato"/>
          <w:color w:val="000000"/>
          <w:sz w:val="22"/>
          <w:szCs w:val="22"/>
          <w:highlight w:val="white"/>
        </w:rPr>
        <w:t xml:space="preserve">Using guiding questions, this worksheet </w:t>
      </w:r>
      <w:r>
        <w:rPr>
          <w:rFonts w:ascii="Lato" w:eastAsia="Lato" w:hAnsi="Lato" w:cs="Lato"/>
          <w:sz w:val="22"/>
          <w:szCs w:val="22"/>
          <w:highlight w:val="white"/>
        </w:rPr>
        <w:t>is designed to</w:t>
      </w:r>
      <w:r>
        <w:rPr>
          <w:rFonts w:ascii="Lato" w:eastAsia="Lato" w:hAnsi="Lato" w:cs="Lato"/>
          <w:color w:val="000000"/>
          <w:sz w:val="22"/>
          <w:szCs w:val="22"/>
          <w:highlight w:val="white"/>
        </w:rPr>
        <w:t xml:space="preserve"> assist </w:t>
      </w:r>
      <w:r>
        <w:rPr>
          <w:rFonts w:ascii="Lato" w:eastAsia="Lato" w:hAnsi="Lato" w:cs="Lato"/>
          <w:sz w:val="22"/>
          <w:szCs w:val="22"/>
          <w:highlight w:val="white"/>
        </w:rPr>
        <w:t>with</w:t>
      </w:r>
      <w:r>
        <w:rPr>
          <w:rFonts w:ascii="Lato" w:eastAsia="Lato" w:hAnsi="Lato" w:cs="Lato"/>
          <w:color w:val="000000"/>
          <w:sz w:val="22"/>
          <w:szCs w:val="22"/>
          <w:highlight w:val="white"/>
        </w:rPr>
        <w:t xml:space="preserve"> generating a narrative and SMARTIE goal(s) that documents how the Title IV-A activities will be periodically evaluated. This narrative is submitted within WISEgrants under the public budget section.</w:t>
      </w:r>
      <w:r>
        <w:rPr>
          <w:rFonts w:ascii="Lato" w:eastAsia="Lato" w:hAnsi="Lato" w:cs="Lato"/>
          <w:sz w:val="22"/>
          <w:szCs w:val="22"/>
          <w:highlight w:val="white"/>
        </w:rPr>
        <w:t xml:space="preserve"> The </w:t>
      </w:r>
      <w:hyperlink r:id="rId8">
        <w:r>
          <w:rPr>
            <w:rFonts w:ascii="Lato" w:eastAsia="Lato" w:hAnsi="Lato" w:cs="Lato"/>
            <w:color w:val="1155CC"/>
            <w:sz w:val="22"/>
            <w:szCs w:val="22"/>
            <w:highlight w:val="white"/>
            <w:u w:val="single"/>
          </w:rPr>
          <w:t>T4P4 Evaluation Guide</w:t>
        </w:r>
      </w:hyperlink>
      <w:r>
        <w:rPr>
          <w:rFonts w:ascii="Lato" w:eastAsia="Lato" w:hAnsi="Lato" w:cs="Lato"/>
          <w:sz w:val="22"/>
          <w:szCs w:val="22"/>
          <w:highlight w:val="white"/>
        </w:rPr>
        <w:t xml:space="preserve"> provides a high-level overview of the evaluation cycle.</w:t>
      </w:r>
    </w:p>
    <w:p w14:paraId="7F906DCF" w14:textId="77777777" w:rsidR="00910E14" w:rsidRDefault="00910E14">
      <w:pPr>
        <w:rPr>
          <w:rFonts w:ascii="Lato" w:eastAsia="Lato" w:hAnsi="Lato" w:cs="Lato"/>
          <w:sz w:val="22"/>
          <w:szCs w:val="22"/>
          <w:highlight w:val="white"/>
        </w:rPr>
      </w:pPr>
    </w:p>
    <w:p w14:paraId="62D18B98" w14:textId="77777777" w:rsidR="00910E14" w:rsidRDefault="00910E14">
      <w:pPr>
        <w:rPr>
          <w:rFonts w:ascii="Lato" w:eastAsia="Lato" w:hAnsi="Lato" w:cs="Lato"/>
          <w:sz w:val="22"/>
          <w:szCs w:val="22"/>
          <w:highlight w:val="white"/>
        </w:rPr>
      </w:pPr>
    </w:p>
    <w:p w14:paraId="1BE5278E" w14:textId="77777777" w:rsidR="00910E14" w:rsidRDefault="00BF3B43">
      <w:pPr>
        <w:ind w:left="-180"/>
        <w:rPr>
          <w:rFonts w:ascii="Lato" w:eastAsia="Lato" w:hAnsi="Lato" w:cs="Lato"/>
          <w:b/>
          <w:sz w:val="22"/>
          <w:szCs w:val="22"/>
        </w:rPr>
      </w:pPr>
      <w:r>
        <w:rPr>
          <w:rFonts w:ascii="Lato" w:eastAsia="Lato" w:hAnsi="Lato" w:cs="Lato"/>
          <w:b/>
          <w:color w:val="38761D"/>
          <w:sz w:val="22"/>
          <w:szCs w:val="22"/>
          <w:highlight w:val="white"/>
        </w:rPr>
        <w:t>Data of Concern</w:t>
      </w:r>
      <w:sdt>
        <w:sdtPr>
          <w:tag w:val="goog_rdk_0"/>
          <w:id w:val="-2004267070"/>
        </w:sdtPr>
        <w:sdtEndPr/>
        <w:sdtContent>
          <w:r>
            <w:rPr>
              <w:rFonts w:ascii="Nova Mono" w:eastAsia="Nova Mono" w:hAnsi="Nova Mono" w:cs="Nova Mono"/>
              <w:b/>
              <w:sz w:val="22"/>
              <w:szCs w:val="22"/>
              <w:highlight w:val="white"/>
            </w:rPr>
            <w:t>→→</w:t>
          </w:r>
        </w:sdtContent>
      </w:sdt>
      <w:r>
        <w:rPr>
          <w:rFonts w:ascii="Lato" w:eastAsia="Lato" w:hAnsi="Lato" w:cs="Lato"/>
          <w:b/>
          <w:color w:val="B45F06"/>
          <w:sz w:val="22"/>
          <w:szCs w:val="22"/>
          <w:highlight w:val="white"/>
        </w:rPr>
        <w:t>Title IV-A Funded Strategy</w:t>
      </w:r>
      <w:sdt>
        <w:sdtPr>
          <w:tag w:val="goog_rdk_1"/>
          <w:id w:val="600921292"/>
        </w:sdtPr>
        <w:sdtEndPr/>
        <w:sdtContent>
          <w:r>
            <w:rPr>
              <w:rFonts w:ascii="Nova Mono" w:eastAsia="Nova Mono" w:hAnsi="Nova Mono" w:cs="Nova Mono"/>
              <w:b/>
              <w:sz w:val="22"/>
              <w:szCs w:val="22"/>
              <w:highlight w:val="white"/>
            </w:rPr>
            <w:t>→→</w:t>
          </w:r>
        </w:sdtContent>
      </w:sdt>
      <w:r>
        <w:rPr>
          <w:rFonts w:ascii="Lato" w:eastAsia="Lato" w:hAnsi="Lato" w:cs="Lato"/>
          <w:b/>
          <w:color w:val="1155CC"/>
          <w:sz w:val="22"/>
          <w:szCs w:val="22"/>
          <w:highlight w:val="white"/>
        </w:rPr>
        <w:t>District Goals that Align w/ Strategy</w:t>
      </w:r>
      <w:sdt>
        <w:sdtPr>
          <w:tag w:val="goog_rdk_2"/>
          <w:id w:val="1934083866"/>
        </w:sdtPr>
        <w:sdtEndPr/>
        <w:sdtContent>
          <w:r>
            <w:rPr>
              <w:rFonts w:ascii="Nova Mono" w:eastAsia="Nova Mono" w:hAnsi="Nova Mono" w:cs="Nova Mono"/>
              <w:b/>
              <w:sz w:val="22"/>
              <w:szCs w:val="22"/>
              <w:highlight w:val="white"/>
            </w:rPr>
            <w:t>→→</w:t>
          </w:r>
        </w:sdtContent>
      </w:sdt>
      <w:r>
        <w:rPr>
          <w:rFonts w:ascii="Lato" w:eastAsia="Lato" w:hAnsi="Lato" w:cs="Lato"/>
          <w:b/>
          <w:color w:val="990000"/>
          <w:sz w:val="22"/>
          <w:szCs w:val="22"/>
        </w:rPr>
        <w:t xml:space="preserve"> Title IV-A SMARTIE Goal</w:t>
      </w:r>
      <w:r>
        <w:rPr>
          <w:rFonts w:ascii="Lato" w:eastAsia="Lato" w:hAnsi="Lato" w:cs="Lato"/>
          <w:b/>
          <w:sz w:val="22"/>
          <w:szCs w:val="22"/>
        </w:rPr>
        <w:t xml:space="preserve"> </w:t>
      </w:r>
    </w:p>
    <w:p w14:paraId="412B2430" w14:textId="77777777" w:rsidR="00910E14" w:rsidRDefault="00910E14">
      <w:pPr>
        <w:rPr>
          <w:rFonts w:ascii="Lato" w:eastAsia="Lato" w:hAnsi="Lato" w:cs="Lato"/>
          <w:sz w:val="22"/>
          <w:szCs w:val="22"/>
        </w:rPr>
      </w:pPr>
    </w:p>
    <w:p w14:paraId="2F1828B8" w14:textId="77777777" w:rsidR="00910E14" w:rsidRDefault="00BF3B43">
      <w:pPr>
        <w:spacing w:after="200"/>
        <w:rPr>
          <w:rFonts w:ascii="Lato" w:eastAsia="Lato" w:hAnsi="Lato" w:cs="Lato"/>
          <w:b/>
          <w:sz w:val="22"/>
          <w:szCs w:val="22"/>
        </w:rPr>
      </w:pPr>
      <w:r>
        <w:rPr>
          <w:rFonts w:ascii="Lato" w:eastAsia="Lato" w:hAnsi="Lato" w:cs="Lato"/>
          <w:b/>
          <w:sz w:val="22"/>
          <w:szCs w:val="22"/>
        </w:rPr>
        <w:t>Guiding Questions:</w:t>
      </w:r>
    </w:p>
    <w:p w14:paraId="4CDEE82B" w14:textId="77777777" w:rsidR="00910E14" w:rsidRDefault="00BF3B43">
      <w:pPr>
        <w:numPr>
          <w:ilvl w:val="0"/>
          <w:numId w:val="1"/>
        </w:numPr>
        <w:pBdr>
          <w:top w:val="nil"/>
          <w:left w:val="nil"/>
          <w:bottom w:val="nil"/>
          <w:right w:val="nil"/>
          <w:between w:val="nil"/>
        </w:pBdr>
        <w:rPr>
          <w:rFonts w:ascii="Lato" w:eastAsia="Lato" w:hAnsi="Lato" w:cs="Lato"/>
          <w:sz w:val="22"/>
          <w:szCs w:val="22"/>
        </w:rPr>
      </w:pPr>
      <w:r>
        <w:rPr>
          <w:rFonts w:ascii="Lato" w:eastAsia="Lato" w:hAnsi="Lato" w:cs="Lato"/>
          <w:color w:val="000000"/>
          <w:sz w:val="22"/>
          <w:szCs w:val="22"/>
        </w:rPr>
        <w:t xml:space="preserve">Based on the district’s data dig </w:t>
      </w:r>
      <w:r>
        <w:rPr>
          <w:rFonts w:ascii="Lato" w:eastAsia="Lato" w:hAnsi="Lato" w:cs="Lato"/>
          <w:sz w:val="22"/>
          <w:szCs w:val="22"/>
        </w:rPr>
        <w:t>and</w:t>
      </w:r>
      <w:r>
        <w:rPr>
          <w:rFonts w:ascii="Lato" w:eastAsia="Lato" w:hAnsi="Lato" w:cs="Lato"/>
          <w:color w:val="000000"/>
          <w:sz w:val="22"/>
          <w:szCs w:val="22"/>
        </w:rPr>
        <w:t xml:space="preserve"> </w:t>
      </w:r>
      <w:hyperlink r:id="rId9">
        <w:r>
          <w:rPr>
            <w:rFonts w:ascii="Lato" w:eastAsia="Lato" w:hAnsi="Lato" w:cs="Lato"/>
            <w:color w:val="0000FF"/>
            <w:sz w:val="22"/>
            <w:szCs w:val="22"/>
            <w:u w:val="single"/>
          </w:rPr>
          <w:t>needs assessment</w:t>
        </w:r>
      </w:hyperlink>
      <w:r>
        <w:rPr>
          <w:rFonts w:ascii="Lato" w:eastAsia="Lato" w:hAnsi="Lato" w:cs="Lato"/>
          <w:color w:val="000000"/>
          <w:sz w:val="22"/>
          <w:szCs w:val="22"/>
        </w:rPr>
        <w:t xml:space="preserve"> (required for districts receiving $30,000+), what data points are of concern that could be addressed through Title IV-A?</w:t>
      </w:r>
    </w:p>
    <w:p w14:paraId="1E7DA4D9" w14:textId="77777777" w:rsidR="00910E14" w:rsidRDefault="00BF3B43">
      <w:pPr>
        <w:numPr>
          <w:ilvl w:val="0"/>
          <w:numId w:val="1"/>
        </w:numPr>
        <w:pBdr>
          <w:top w:val="nil"/>
          <w:left w:val="nil"/>
          <w:bottom w:val="nil"/>
          <w:right w:val="nil"/>
          <w:between w:val="nil"/>
        </w:pBdr>
        <w:rPr>
          <w:rFonts w:ascii="Lato" w:eastAsia="Lato" w:hAnsi="Lato" w:cs="Lato"/>
          <w:sz w:val="22"/>
          <w:szCs w:val="22"/>
        </w:rPr>
      </w:pPr>
      <w:r>
        <w:rPr>
          <w:rFonts w:ascii="Lato" w:eastAsia="Lato" w:hAnsi="Lato" w:cs="Lato"/>
          <w:color w:val="000000"/>
          <w:sz w:val="22"/>
          <w:szCs w:val="22"/>
        </w:rPr>
        <w:t>What strateg</w:t>
      </w:r>
      <w:r>
        <w:rPr>
          <w:rFonts w:ascii="Lato" w:eastAsia="Lato" w:hAnsi="Lato" w:cs="Lato"/>
          <w:sz w:val="22"/>
          <w:szCs w:val="22"/>
        </w:rPr>
        <w:t>y</w:t>
      </w:r>
      <w:r>
        <w:rPr>
          <w:rFonts w:ascii="Lato" w:eastAsia="Lato" w:hAnsi="Lato" w:cs="Lato"/>
          <w:color w:val="000000"/>
          <w:sz w:val="22"/>
          <w:szCs w:val="22"/>
        </w:rPr>
        <w:t xml:space="preserve">, aligned with identified </w:t>
      </w:r>
      <w:r>
        <w:rPr>
          <w:rFonts w:ascii="Lato" w:eastAsia="Lato" w:hAnsi="Lato" w:cs="Lato"/>
          <w:sz w:val="22"/>
          <w:szCs w:val="22"/>
        </w:rPr>
        <w:t>need(s)</w:t>
      </w:r>
      <w:r>
        <w:rPr>
          <w:rFonts w:ascii="Lato" w:eastAsia="Lato" w:hAnsi="Lato" w:cs="Lato"/>
          <w:color w:val="000000"/>
          <w:sz w:val="22"/>
          <w:szCs w:val="22"/>
        </w:rPr>
        <w:t>, will be funded with Title IV-A?  Note that strategies must be new or an enhancement of current activities, targeted towards schools or students of greatest need, and must meet at least Tier 4 (</w:t>
      </w:r>
      <w:r>
        <w:rPr>
          <w:rFonts w:ascii="Lato" w:eastAsia="Lato" w:hAnsi="Lato" w:cs="Lato"/>
          <w:sz w:val="22"/>
          <w:szCs w:val="22"/>
        </w:rPr>
        <w:t>d</w:t>
      </w:r>
      <w:r>
        <w:rPr>
          <w:rFonts w:ascii="Lato" w:eastAsia="Lato" w:hAnsi="Lato" w:cs="Lato"/>
          <w:color w:val="000000"/>
          <w:sz w:val="22"/>
          <w:szCs w:val="22"/>
        </w:rPr>
        <w:t xml:space="preserve">emonstrates a </w:t>
      </w:r>
      <w:r>
        <w:rPr>
          <w:rFonts w:ascii="Lato" w:eastAsia="Lato" w:hAnsi="Lato" w:cs="Lato"/>
          <w:sz w:val="22"/>
          <w:szCs w:val="22"/>
        </w:rPr>
        <w:t>r</w:t>
      </w:r>
      <w:r>
        <w:rPr>
          <w:rFonts w:ascii="Lato" w:eastAsia="Lato" w:hAnsi="Lato" w:cs="Lato"/>
          <w:color w:val="000000"/>
          <w:sz w:val="22"/>
          <w:szCs w:val="22"/>
        </w:rPr>
        <w:t xml:space="preserve">ationale for </w:t>
      </w:r>
      <w:r>
        <w:rPr>
          <w:rFonts w:ascii="Lato" w:eastAsia="Lato" w:hAnsi="Lato" w:cs="Lato"/>
          <w:sz w:val="22"/>
          <w:szCs w:val="22"/>
        </w:rPr>
        <w:t>achieving intended goals</w:t>
      </w:r>
      <w:r>
        <w:rPr>
          <w:rFonts w:ascii="Lato" w:eastAsia="Lato" w:hAnsi="Lato" w:cs="Lato"/>
          <w:color w:val="000000"/>
          <w:sz w:val="22"/>
          <w:szCs w:val="22"/>
        </w:rPr>
        <w:t xml:space="preserve">), on </w:t>
      </w:r>
      <w:hyperlink r:id="rId10">
        <w:r>
          <w:rPr>
            <w:rFonts w:ascii="Lato" w:eastAsia="Lato" w:hAnsi="Lato" w:cs="Lato"/>
            <w:color w:val="0000FF"/>
            <w:sz w:val="22"/>
            <w:szCs w:val="22"/>
            <w:u w:val="single"/>
          </w:rPr>
          <w:t>ES</w:t>
        </w:r>
      </w:hyperlink>
      <w:hyperlink r:id="rId11">
        <w:r>
          <w:rPr>
            <w:rFonts w:ascii="Lato" w:eastAsia="Lato" w:hAnsi="Lato" w:cs="Lato"/>
            <w:color w:val="0000FF"/>
            <w:sz w:val="22"/>
            <w:szCs w:val="22"/>
            <w:u w:val="single"/>
          </w:rPr>
          <w:t>SA</w:t>
        </w:r>
      </w:hyperlink>
      <w:hyperlink r:id="rId12">
        <w:r>
          <w:rPr>
            <w:rFonts w:ascii="Lato" w:eastAsia="Lato" w:hAnsi="Lato" w:cs="Lato"/>
            <w:color w:val="0000FF"/>
            <w:sz w:val="22"/>
            <w:szCs w:val="22"/>
            <w:u w:val="single"/>
          </w:rPr>
          <w:t xml:space="preserve"> Tiers of Evidence</w:t>
        </w:r>
      </w:hyperlink>
      <w:r>
        <w:rPr>
          <w:rFonts w:ascii="Lato" w:eastAsia="Lato" w:hAnsi="Lato" w:cs="Lato"/>
          <w:color w:val="000000"/>
          <w:sz w:val="22"/>
          <w:szCs w:val="22"/>
        </w:rPr>
        <w:t xml:space="preserve">. </w:t>
      </w:r>
    </w:p>
    <w:p w14:paraId="5529C989" w14:textId="77777777" w:rsidR="00910E14" w:rsidRDefault="00BF3B43">
      <w:pPr>
        <w:numPr>
          <w:ilvl w:val="0"/>
          <w:numId w:val="1"/>
        </w:numPr>
        <w:pBdr>
          <w:top w:val="nil"/>
          <w:left w:val="nil"/>
          <w:bottom w:val="nil"/>
          <w:right w:val="nil"/>
          <w:between w:val="nil"/>
        </w:pBdr>
        <w:rPr>
          <w:rFonts w:ascii="Lato" w:eastAsia="Lato" w:hAnsi="Lato" w:cs="Lato"/>
          <w:sz w:val="22"/>
          <w:szCs w:val="22"/>
        </w:rPr>
      </w:pPr>
      <w:r>
        <w:rPr>
          <w:rFonts w:ascii="Lato" w:eastAsia="Lato" w:hAnsi="Lato" w:cs="Lato"/>
          <w:color w:val="000000"/>
          <w:sz w:val="22"/>
          <w:szCs w:val="22"/>
        </w:rPr>
        <w:t>What district goals does the funded strateg</w:t>
      </w:r>
      <w:r>
        <w:rPr>
          <w:rFonts w:ascii="Lato" w:eastAsia="Lato" w:hAnsi="Lato" w:cs="Lato"/>
          <w:sz w:val="22"/>
          <w:szCs w:val="22"/>
        </w:rPr>
        <w:t>y</w:t>
      </w:r>
      <w:r>
        <w:rPr>
          <w:rFonts w:ascii="Lato" w:eastAsia="Lato" w:hAnsi="Lato" w:cs="Lato"/>
          <w:color w:val="000000"/>
          <w:sz w:val="22"/>
          <w:szCs w:val="22"/>
        </w:rPr>
        <w:t xml:space="preserve"> support? This might include alignment with the district or </w:t>
      </w:r>
      <w:r>
        <w:rPr>
          <w:rFonts w:ascii="Lato" w:eastAsia="Lato" w:hAnsi="Lato" w:cs="Lato"/>
          <w:sz w:val="22"/>
          <w:szCs w:val="22"/>
        </w:rPr>
        <w:t>school</w:t>
      </w:r>
      <w:r>
        <w:rPr>
          <w:rFonts w:ascii="Lato" w:eastAsia="Lato" w:hAnsi="Lato" w:cs="Lato"/>
          <w:color w:val="000000"/>
          <w:sz w:val="22"/>
          <w:szCs w:val="22"/>
        </w:rPr>
        <w:t xml:space="preserve"> plan</w:t>
      </w:r>
      <w:r>
        <w:rPr>
          <w:rFonts w:ascii="Lato" w:eastAsia="Lato" w:hAnsi="Lato" w:cs="Lato"/>
          <w:sz w:val="22"/>
          <w:szCs w:val="22"/>
        </w:rPr>
        <w:t xml:space="preserve"> to include</w:t>
      </w:r>
      <w:r>
        <w:rPr>
          <w:rFonts w:ascii="Lato" w:eastAsia="Lato" w:hAnsi="Lato" w:cs="Lato"/>
          <w:color w:val="000000"/>
          <w:sz w:val="22"/>
          <w:szCs w:val="22"/>
        </w:rPr>
        <w:t xml:space="preserve"> technology, school safety, professional development, etc.</w:t>
      </w:r>
    </w:p>
    <w:p w14:paraId="3F256928" w14:textId="77777777" w:rsidR="00910E14" w:rsidRDefault="00BF3B43">
      <w:pPr>
        <w:numPr>
          <w:ilvl w:val="0"/>
          <w:numId w:val="1"/>
        </w:numPr>
        <w:pBdr>
          <w:top w:val="nil"/>
          <w:left w:val="nil"/>
          <w:bottom w:val="nil"/>
          <w:right w:val="nil"/>
          <w:between w:val="nil"/>
        </w:pBdr>
        <w:rPr>
          <w:rFonts w:ascii="Lato" w:eastAsia="Lato" w:hAnsi="Lato" w:cs="Lato"/>
          <w:sz w:val="22"/>
          <w:szCs w:val="22"/>
        </w:rPr>
      </w:pPr>
      <w:r>
        <w:rPr>
          <w:rFonts w:ascii="Lato" w:eastAsia="Lato" w:hAnsi="Lato" w:cs="Lato"/>
          <w:sz w:val="22"/>
          <w:szCs w:val="22"/>
        </w:rPr>
        <w:t>What would you expect the impact of the activity to be</w:t>
      </w:r>
      <w:r>
        <w:rPr>
          <w:rFonts w:ascii="Lato" w:eastAsia="Lato" w:hAnsi="Lato" w:cs="Lato"/>
          <w:color w:val="000000"/>
          <w:sz w:val="22"/>
          <w:szCs w:val="22"/>
        </w:rPr>
        <w:t xml:space="preserve">? What district or student </w:t>
      </w:r>
      <w:r>
        <w:rPr>
          <w:rFonts w:ascii="Lato" w:eastAsia="Lato" w:hAnsi="Lato" w:cs="Lato"/>
          <w:sz w:val="22"/>
          <w:szCs w:val="22"/>
        </w:rPr>
        <w:t>data will be used to measure impact</w:t>
      </w:r>
      <w:r>
        <w:rPr>
          <w:rFonts w:ascii="Lato" w:eastAsia="Lato" w:hAnsi="Lato" w:cs="Lato"/>
          <w:color w:val="000000"/>
          <w:sz w:val="22"/>
          <w:szCs w:val="22"/>
        </w:rPr>
        <w:t>?  How much change should be seen and by when?</w:t>
      </w:r>
    </w:p>
    <w:p w14:paraId="193FFBF3" w14:textId="77777777" w:rsidR="00910E14" w:rsidRDefault="00BF3B43">
      <w:pPr>
        <w:numPr>
          <w:ilvl w:val="0"/>
          <w:numId w:val="1"/>
        </w:numPr>
        <w:pBdr>
          <w:top w:val="nil"/>
          <w:left w:val="nil"/>
          <w:bottom w:val="nil"/>
          <w:right w:val="nil"/>
          <w:between w:val="nil"/>
        </w:pBdr>
        <w:rPr>
          <w:rFonts w:ascii="Lato" w:eastAsia="Lato" w:hAnsi="Lato" w:cs="Lato"/>
          <w:sz w:val="22"/>
          <w:szCs w:val="22"/>
        </w:rPr>
      </w:pPr>
      <w:r>
        <w:rPr>
          <w:rFonts w:ascii="Lato" w:eastAsia="Lato" w:hAnsi="Lato" w:cs="Lato"/>
          <w:sz w:val="22"/>
          <w:szCs w:val="22"/>
        </w:rPr>
        <w:t>Is the goal specific, measurable, attainable, relevant, timely, inclusive, and equitable (</w:t>
      </w:r>
      <w:hyperlink r:id="rId13">
        <w:r>
          <w:rPr>
            <w:rFonts w:ascii="Lato" w:eastAsia="Lato" w:hAnsi="Lato" w:cs="Lato"/>
            <w:color w:val="1155CC"/>
            <w:sz w:val="22"/>
            <w:szCs w:val="22"/>
            <w:u w:val="single"/>
          </w:rPr>
          <w:t>SMARTIE</w:t>
        </w:r>
      </w:hyperlink>
      <w:r>
        <w:rPr>
          <w:rFonts w:ascii="Lato" w:eastAsia="Lato" w:hAnsi="Lato" w:cs="Lato"/>
          <w:sz w:val="22"/>
          <w:szCs w:val="22"/>
        </w:rPr>
        <w:t>)?</w:t>
      </w:r>
    </w:p>
    <w:p w14:paraId="46B159A4" w14:textId="77777777" w:rsidR="00910E14" w:rsidRDefault="00910E14">
      <w:pPr>
        <w:pBdr>
          <w:top w:val="nil"/>
          <w:left w:val="nil"/>
          <w:bottom w:val="nil"/>
          <w:right w:val="nil"/>
          <w:between w:val="nil"/>
        </w:pBdr>
        <w:rPr>
          <w:rFonts w:ascii="Lato" w:eastAsia="Lato" w:hAnsi="Lato" w:cs="Lato"/>
          <w:sz w:val="22"/>
          <w:szCs w:val="22"/>
        </w:rPr>
      </w:pPr>
    </w:p>
    <w:p w14:paraId="1CC8C38B" w14:textId="77777777" w:rsidR="00910E14" w:rsidRDefault="00910E14">
      <w:pPr>
        <w:pBdr>
          <w:top w:val="nil"/>
          <w:left w:val="nil"/>
          <w:bottom w:val="nil"/>
          <w:right w:val="nil"/>
          <w:between w:val="nil"/>
        </w:pBdr>
        <w:rPr>
          <w:rFonts w:ascii="Lato" w:eastAsia="Lato" w:hAnsi="Lato" w:cs="Lato"/>
          <w:sz w:val="22"/>
          <w:szCs w:val="22"/>
        </w:rPr>
      </w:pPr>
    </w:p>
    <w:p w14:paraId="5D02729A" w14:textId="77777777" w:rsidR="00910E14" w:rsidRDefault="00BF3B43">
      <w:pPr>
        <w:pBdr>
          <w:top w:val="nil"/>
          <w:left w:val="nil"/>
          <w:bottom w:val="nil"/>
          <w:right w:val="nil"/>
          <w:between w:val="nil"/>
        </w:pBdr>
        <w:rPr>
          <w:rFonts w:ascii="Lato" w:eastAsia="Lato" w:hAnsi="Lato" w:cs="Lato"/>
          <w:b/>
          <w:sz w:val="22"/>
          <w:szCs w:val="22"/>
        </w:rPr>
      </w:pPr>
      <w:r>
        <w:rPr>
          <w:rFonts w:ascii="Lato" w:eastAsia="Lato" w:hAnsi="Lato" w:cs="Lato"/>
          <w:b/>
          <w:sz w:val="22"/>
          <w:szCs w:val="22"/>
        </w:rPr>
        <w:t>Example:</w:t>
      </w:r>
    </w:p>
    <w:p w14:paraId="41F3663F" w14:textId="77777777" w:rsidR="00910E14" w:rsidRDefault="00BF3B43">
      <w:pPr>
        <w:spacing w:before="240" w:after="240" w:line="276" w:lineRule="auto"/>
        <w:rPr>
          <w:rFonts w:ascii="Lato" w:eastAsia="Lato" w:hAnsi="Lato" w:cs="Lato"/>
          <w:color w:val="1155CC"/>
          <w:sz w:val="22"/>
          <w:szCs w:val="22"/>
        </w:rPr>
      </w:pPr>
      <w:r>
        <w:rPr>
          <w:rFonts w:ascii="Lato" w:eastAsia="Lato" w:hAnsi="Lato" w:cs="Lato"/>
          <w:color w:val="38761D"/>
          <w:sz w:val="22"/>
          <w:szCs w:val="22"/>
        </w:rPr>
        <w:t>The 2021 Youth Risk Behavior Survey (YRBS) showed high rates of suicidal ideation and attempts, less sense of belonging, fewer connections with adults, and reports of bullying. Other data sources include mental health surveys, informal/formal pre/post google surveys, disciplinary/attendance data.</w:t>
      </w:r>
      <w:r>
        <w:rPr>
          <w:rFonts w:ascii="Lato" w:eastAsia="Lato" w:hAnsi="Lato" w:cs="Lato"/>
          <w:sz w:val="22"/>
          <w:szCs w:val="22"/>
        </w:rPr>
        <w:t xml:space="preserve"> </w:t>
      </w:r>
      <w:r>
        <w:rPr>
          <w:rFonts w:ascii="Lato" w:eastAsia="Lato" w:hAnsi="Lato" w:cs="Lato"/>
          <w:color w:val="1155CC"/>
          <w:sz w:val="22"/>
          <w:szCs w:val="22"/>
        </w:rPr>
        <w:t xml:space="preserve">This year our district goal focused on implementing restorative practices training, increasing resiliency and connections for students to adults, and continuing to cultivate our mental health trauma sensitivity framework for staff and students. We believe we can increase student engagement and connection to school, thereby decreasing bullying and suicidal ideation, </w:t>
      </w:r>
      <w:r>
        <w:rPr>
          <w:rFonts w:ascii="Lato" w:eastAsia="Lato" w:hAnsi="Lato" w:cs="Lato"/>
          <w:color w:val="B45F06"/>
          <w:sz w:val="22"/>
          <w:szCs w:val="22"/>
        </w:rPr>
        <w:t>through universal evidence-based peer-to-peer programs that support building relationships between students (Sources of Strength [SOS]).</w:t>
      </w:r>
    </w:p>
    <w:p w14:paraId="31A652BC" w14:textId="77777777" w:rsidR="00910E14" w:rsidRDefault="00BF3B43">
      <w:pPr>
        <w:spacing w:before="240" w:after="240" w:line="276" w:lineRule="auto"/>
        <w:rPr>
          <w:rFonts w:ascii="Lato" w:eastAsia="Lato" w:hAnsi="Lato" w:cs="Lato"/>
          <w:color w:val="990000"/>
          <w:sz w:val="22"/>
          <w:szCs w:val="22"/>
        </w:rPr>
      </w:pPr>
      <w:r>
        <w:rPr>
          <w:rFonts w:ascii="Lato" w:eastAsia="Lato" w:hAnsi="Lato" w:cs="Lato"/>
          <w:color w:val="990000"/>
          <w:sz w:val="22"/>
          <w:szCs w:val="22"/>
        </w:rPr>
        <w:t>By June 30th</w:t>
      </w:r>
      <w:proofErr w:type="gramStart"/>
      <w:r>
        <w:rPr>
          <w:rFonts w:ascii="Lato" w:eastAsia="Lato" w:hAnsi="Lato" w:cs="Lato"/>
          <w:color w:val="990000"/>
          <w:sz w:val="22"/>
          <w:szCs w:val="22"/>
        </w:rPr>
        <w:t xml:space="preserve"> 2023</w:t>
      </w:r>
      <w:proofErr w:type="gramEnd"/>
      <w:r>
        <w:rPr>
          <w:rFonts w:ascii="Lato" w:eastAsia="Lato" w:hAnsi="Lato" w:cs="Lato"/>
          <w:color w:val="990000"/>
          <w:sz w:val="22"/>
          <w:szCs w:val="22"/>
        </w:rPr>
        <w:t>,</w:t>
      </w:r>
      <w:r>
        <w:rPr>
          <w:rFonts w:ascii="Lato" w:eastAsia="Lato" w:hAnsi="Lato" w:cs="Lato"/>
          <w:sz w:val="22"/>
          <w:szCs w:val="22"/>
        </w:rPr>
        <w:t xml:space="preserve"> </w:t>
      </w:r>
      <w:r>
        <w:rPr>
          <w:rFonts w:ascii="Lato" w:eastAsia="Lato" w:hAnsi="Lato" w:cs="Lato"/>
          <w:color w:val="B45F06"/>
          <w:sz w:val="22"/>
          <w:szCs w:val="22"/>
        </w:rPr>
        <w:t>as a result of implementing Restorative Practices and Sources of Strength</w:t>
      </w:r>
      <w:r>
        <w:rPr>
          <w:rFonts w:ascii="Lato" w:eastAsia="Lato" w:hAnsi="Lato" w:cs="Lato"/>
          <w:color w:val="990000"/>
          <w:sz w:val="22"/>
          <w:szCs w:val="22"/>
        </w:rPr>
        <w:t>,</w:t>
      </w:r>
      <w:r>
        <w:rPr>
          <w:rFonts w:ascii="Lato" w:eastAsia="Lato" w:hAnsi="Lato" w:cs="Lato"/>
          <w:sz w:val="22"/>
          <w:szCs w:val="22"/>
        </w:rPr>
        <w:t xml:space="preserve"> </w:t>
      </w:r>
      <w:r>
        <w:rPr>
          <w:rFonts w:ascii="Lato" w:eastAsia="Lato" w:hAnsi="Lato" w:cs="Lato"/>
          <w:color w:val="990000"/>
          <w:sz w:val="22"/>
          <w:szCs w:val="22"/>
        </w:rPr>
        <w:t>the number of students feeling connected to school will increase from 50 percent to 53 percent (by three percentage points) as measured by the YRBS administered in 2023.</w:t>
      </w:r>
    </w:p>
    <w:p w14:paraId="54C0B396" w14:textId="3195AA71" w:rsidR="00910E14" w:rsidRDefault="00BF3B43">
      <w:pPr>
        <w:spacing w:before="240" w:after="240" w:line="276" w:lineRule="auto"/>
        <w:rPr>
          <w:rFonts w:ascii="Lato" w:eastAsia="Lato" w:hAnsi="Lato" w:cs="Lato"/>
          <w:color w:val="990000"/>
          <w:sz w:val="22"/>
          <w:szCs w:val="22"/>
        </w:rPr>
      </w:pPr>
      <w:r>
        <w:rPr>
          <w:rFonts w:ascii="Lato" w:eastAsia="Lato" w:hAnsi="Lato" w:cs="Lato"/>
          <w:color w:val="990000"/>
          <w:sz w:val="22"/>
          <w:szCs w:val="22"/>
        </w:rPr>
        <w:t>By June 30th, 2023,</w:t>
      </w:r>
      <w:r>
        <w:rPr>
          <w:rFonts w:ascii="Lato" w:eastAsia="Lato" w:hAnsi="Lato" w:cs="Lato"/>
          <w:sz w:val="22"/>
          <w:szCs w:val="22"/>
        </w:rPr>
        <w:t xml:space="preserve"> </w:t>
      </w:r>
      <w:r>
        <w:rPr>
          <w:rFonts w:ascii="Lato" w:eastAsia="Lato" w:hAnsi="Lato" w:cs="Lato"/>
          <w:color w:val="B45F06"/>
          <w:sz w:val="22"/>
          <w:szCs w:val="22"/>
        </w:rPr>
        <w:t xml:space="preserve">after implementing a variety of strategies including Sources of Strength, Question, Persuade, </w:t>
      </w:r>
      <w:proofErr w:type="gramStart"/>
      <w:r>
        <w:rPr>
          <w:rFonts w:ascii="Lato" w:eastAsia="Lato" w:hAnsi="Lato" w:cs="Lato"/>
          <w:color w:val="B45F06"/>
          <w:sz w:val="22"/>
          <w:szCs w:val="22"/>
        </w:rPr>
        <w:t>Refer</w:t>
      </w:r>
      <w:proofErr w:type="gramEnd"/>
      <w:r>
        <w:rPr>
          <w:rFonts w:ascii="Lato" w:eastAsia="Lato" w:hAnsi="Lato" w:cs="Lato"/>
          <w:color w:val="B45F06"/>
          <w:sz w:val="22"/>
          <w:szCs w:val="22"/>
        </w:rPr>
        <w:t xml:space="preserve"> (QPR), and Youth Mental Health First Aid (YMHFA) to address suicide</w:t>
      </w:r>
      <w:r>
        <w:rPr>
          <w:rFonts w:ascii="Lato" w:eastAsia="Lato" w:hAnsi="Lato" w:cs="Lato"/>
          <w:color w:val="990000"/>
          <w:sz w:val="22"/>
          <w:szCs w:val="22"/>
        </w:rPr>
        <w:t>,</w:t>
      </w:r>
      <w:r>
        <w:rPr>
          <w:rFonts w:ascii="Lato" w:eastAsia="Lato" w:hAnsi="Lato" w:cs="Lato"/>
          <w:sz w:val="22"/>
          <w:szCs w:val="22"/>
        </w:rPr>
        <w:t xml:space="preserve"> </w:t>
      </w:r>
      <w:r>
        <w:rPr>
          <w:rFonts w:ascii="Lato" w:eastAsia="Lato" w:hAnsi="Lato" w:cs="Lato"/>
          <w:color w:val="990000"/>
          <w:sz w:val="22"/>
          <w:szCs w:val="22"/>
        </w:rPr>
        <w:t>we will decrease the number of students who report attempting suicide in the last 12 months from 12 percent to 8 percent (by four percentage points) as measured by the YRBS administered in 2023.</w:t>
      </w:r>
    </w:p>
    <w:p w14:paraId="55B88C63" w14:textId="23EE9BEA" w:rsidR="00901C47" w:rsidRDefault="00901C47">
      <w:pPr>
        <w:spacing w:before="240" w:after="240" w:line="276" w:lineRule="auto"/>
        <w:rPr>
          <w:rFonts w:ascii="Lato" w:eastAsia="Lato" w:hAnsi="Lato" w:cs="Lato"/>
          <w:color w:val="990000"/>
          <w:sz w:val="22"/>
          <w:szCs w:val="22"/>
        </w:rPr>
      </w:pPr>
    </w:p>
    <w:p w14:paraId="13E033B5" w14:textId="087D34A3" w:rsidR="00901C47" w:rsidRPr="008179B4" w:rsidRDefault="008179B4">
      <w:pPr>
        <w:spacing w:before="240" w:after="240" w:line="276" w:lineRule="auto"/>
        <w:rPr>
          <w:rFonts w:ascii="Lato" w:eastAsia="Lato" w:hAnsi="Lato" w:cs="Lato"/>
          <w:b/>
          <w:bCs/>
          <w:sz w:val="22"/>
          <w:szCs w:val="22"/>
        </w:rPr>
      </w:pPr>
      <w:r w:rsidRPr="008179B4">
        <w:rPr>
          <w:rFonts w:ascii="Lato" w:eastAsia="Lato" w:hAnsi="Lato" w:cs="Lato"/>
          <w:b/>
          <w:bCs/>
          <w:sz w:val="22"/>
          <w:szCs w:val="22"/>
        </w:rPr>
        <w:t xml:space="preserve">SMARTIE </w:t>
      </w:r>
      <w:r w:rsidR="00901C47" w:rsidRPr="008179B4">
        <w:rPr>
          <w:rFonts w:ascii="Lato" w:eastAsia="Lato" w:hAnsi="Lato" w:cs="Lato"/>
          <w:b/>
          <w:bCs/>
          <w:sz w:val="22"/>
          <w:szCs w:val="22"/>
        </w:rPr>
        <w:t>Template</w:t>
      </w:r>
    </w:p>
    <w:p w14:paraId="43E97D56" w14:textId="122E0DD2" w:rsidR="00901C47" w:rsidRPr="008179B4" w:rsidRDefault="00901C47">
      <w:pPr>
        <w:spacing w:before="240" w:after="240" w:line="276" w:lineRule="auto"/>
        <w:rPr>
          <w:rFonts w:ascii="Lato" w:eastAsia="Lato" w:hAnsi="Lato" w:cs="Lato"/>
          <w:sz w:val="22"/>
          <w:szCs w:val="22"/>
        </w:rPr>
      </w:pPr>
      <w:r w:rsidRPr="008179B4">
        <w:rPr>
          <w:rFonts w:ascii="Lato" w:eastAsia="Lato" w:hAnsi="Lato" w:cs="Lato"/>
          <w:sz w:val="22"/>
          <w:szCs w:val="22"/>
        </w:rPr>
        <w:t xml:space="preserve">By WHEN, after doing WHAT INTERVENTION(s), we will INCREASE/DECREASE </w:t>
      </w:r>
      <w:r w:rsidR="008179B4">
        <w:rPr>
          <w:rFonts w:ascii="Lato" w:eastAsia="Lato" w:hAnsi="Lato" w:cs="Lato"/>
          <w:sz w:val="22"/>
          <w:szCs w:val="22"/>
        </w:rPr>
        <w:t xml:space="preserve">THIS </w:t>
      </w:r>
      <w:r w:rsidR="00DE5DE3" w:rsidRPr="008179B4">
        <w:rPr>
          <w:rFonts w:ascii="Lato" w:eastAsia="Lato" w:hAnsi="Lato" w:cs="Lato"/>
          <w:sz w:val="22"/>
          <w:szCs w:val="22"/>
        </w:rPr>
        <w:t>DATA POINT among WHICH STUDENTS</w:t>
      </w:r>
      <w:r w:rsidRPr="008179B4">
        <w:rPr>
          <w:rFonts w:ascii="Lato" w:eastAsia="Lato" w:hAnsi="Lato" w:cs="Lato"/>
          <w:sz w:val="22"/>
          <w:szCs w:val="22"/>
        </w:rPr>
        <w:t xml:space="preserve"> by HOW MUCH </w:t>
      </w:r>
      <w:r w:rsidR="002F6807">
        <w:rPr>
          <w:rFonts w:ascii="Lato" w:eastAsia="Lato" w:hAnsi="Lato" w:cs="Lato"/>
          <w:sz w:val="22"/>
          <w:szCs w:val="22"/>
        </w:rPr>
        <w:t xml:space="preserve">from BASELINE MEASURE </w:t>
      </w:r>
      <w:r w:rsidRPr="008179B4">
        <w:rPr>
          <w:rFonts w:ascii="Lato" w:eastAsia="Lato" w:hAnsi="Lato" w:cs="Lato"/>
          <w:sz w:val="22"/>
          <w:szCs w:val="22"/>
        </w:rPr>
        <w:t>as measured by WHICH DATA SOURCE.</w:t>
      </w:r>
    </w:p>
    <w:p w14:paraId="7FB671A8" w14:textId="77777777" w:rsidR="00910E14" w:rsidRDefault="00910E14">
      <w:pPr>
        <w:spacing w:before="240" w:after="240" w:line="276" w:lineRule="auto"/>
      </w:pPr>
    </w:p>
    <w:p w14:paraId="15333704" w14:textId="77777777" w:rsidR="00910E14" w:rsidRDefault="00910E14">
      <w:pPr>
        <w:spacing w:before="240" w:after="240" w:line="276" w:lineRule="auto"/>
      </w:pPr>
    </w:p>
    <w:sectPr w:rsidR="00910E14">
      <w:headerReference w:type="even" r:id="rId14"/>
      <w:headerReference w:type="default" r:id="rId15"/>
      <w:footerReference w:type="even" r:id="rId16"/>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7B193" w14:textId="77777777" w:rsidR="00564629" w:rsidRDefault="00BF3B43">
      <w:r>
        <w:separator/>
      </w:r>
    </w:p>
  </w:endnote>
  <w:endnote w:type="continuationSeparator" w:id="0">
    <w:p w14:paraId="047D4C82" w14:textId="77777777" w:rsidR="00564629" w:rsidRDefault="00BF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Nova Mon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B53C" w14:textId="77777777" w:rsidR="00910E14" w:rsidRDefault="00910E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24707" w14:textId="77777777" w:rsidR="00564629" w:rsidRDefault="00BF3B43">
      <w:r>
        <w:separator/>
      </w:r>
    </w:p>
  </w:footnote>
  <w:footnote w:type="continuationSeparator" w:id="0">
    <w:p w14:paraId="074EC60F" w14:textId="77777777" w:rsidR="00564629" w:rsidRDefault="00BF3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5BBB" w14:textId="77777777" w:rsidR="00910E14" w:rsidRDefault="00910E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CC5D" w14:textId="77777777" w:rsidR="00910E14" w:rsidRDefault="00BF3B43">
    <w:pPr>
      <w:jc w:val="center"/>
      <w:rPr>
        <w:rFonts w:ascii="Lato" w:eastAsia="Lato" w:hAnsi="Lato" w:cs="Lato"/>
        <w:b/>
        <w:sz w:val="26"/>
        <w:szCs w:val="26"/>
      </w:rPr>
    </w:pPr>
    <w:r>
      <w:rPr>
        <w:noProof/>
      </w:rPr>
      <w:drawing>
        <wp:anchor distT="114300" distB="114300" distL="114300" distR="114300" simplePos="0" relativeHeight="251658240" behindDoc="1" locked="0" layoutInCell="1" hidden="0" allowOverlap="1" wp14:anchorId="36014E27" wp14:editId="6B200575">
          <wp:simplePos x="0" y="0"/>
          <wp:positionH relativeFrom="column">
            <wp:posOffset>1</wp:posOffset>
          </wp:positionH>
          <wp:positionV relativeFrom="paragraph">
            <wp:posOffset>-228599</wp:posOffset>
          </wp:positionV>
          <wp:extent cx="2166124" cy="123348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66124" cy="1233488"/>
                  </a:xfrm>
                  <a:prstGeom prst="rect">
                    <a:avLst/>
                  </a:prstGeom>
                  <a:ln/>
                </pic:spPr>
              </pic:pic>
            </a:graphicData>
          </a:graphic>
        </wp:anchor>
      </w:drawing>
    </w:r>
  </w:p>
  <w:p w14:paraId="14E7D2F8" w14:textId="77777777" w:rsidR="00910E14" w:rsidRDefault="00BF3B43">
    <w:pPr>
      <w:ind w:left="720" w:firstLine="720"/>
      <w:jc w:val="center"/>
      <w:rPr>
        <w:rFonts w:ascii="Lato" w:eastAsia="Lato" w:hAnsi="Lato" w:cs="Lato"/>
        <w:b/>
        <w:sz w:val="28"/>
        <w:szCs w:val="28"/>
      </w:rPr>
    </w:pPr>
    <w:r>
      <w:rPr>
        <w:rFonts w:ascii="Lato" w:eastAsia="Lato" w:hAnsi="Lato" w:cs="Lato"/>
        <w:b/>
        <w:sz w:val="28"/>
        <w:szCs w:val="28"/>
      </w:rPr>
      <w:t>Title IV-A Student Support and Academic Enrichment</w:t>
    </w:r>
  </w:p>
  <w:p w14:paraId="1C953D00" w14:textId="77777777" w:rsidR="00910E14" w:rsidRDefault="00BF3B43">
    <w:pPr>
      <w:ind w:left="720" w:firstLine="720"/>
      <w:jc w:val="center"/>
      <w:rPr>
        <w:sz w:val="26"/>
        <w:szCs w:val="26"/>
      </w:rPr>
    </w:pPr>
    <w:r>
      <w:rPr>
        <w:rFonts w:ascii="Lato" w:eastAsia="Lato" w:hAnsi="Lato" w:cs="Lato"/>
        <w:b/>
        <w:sz w:val="28"/>
        <w:szCs w:val="28"/>
      </w:rPr>
      <w:t>Evaluation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22F30"/>
    <w:multiLevelType w:val="multilevel"/>
    <w:tmpl w:val="FCAE3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9317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E14"/>
    <w:rsid w:val="002F6807"/>
    <w:rsid w:val="00564629"/>
    <w:rsid w:val="008179B4"/>
    <w:rsid w:val="00901C47"/>
    <w:rsid w:val="00910E14"/>
    <w:rsid w:val="00BF3B43"/>
    <w:rsid w:val="00DE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84029"/>
  <w15:docId w15:val="{2D9EE240-1F25-4F91-AAA2-EA793995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65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12AD"/>
    <w:pPr>
      <w:ind w:left="720"/>
      <w:contextualSpacing/>
    </w:pPr>
  </w:style>
  <w:style w:type="character" w:styleId="Hyperlink">
    <w:name w:val="Hyperlink"/>
    <w:basedOn w:val="DefaultParagraphFont"/>
    <w:uiPriority w:val="99"/>
    <w:unhideWhenUsed/>
    <w:rsid w:val="00B124AC"/>
    <w:rPr>
      <w:color w:val="0000FF" w:themeColor="hyperlink"/>
      <w:u w:val="single"/>
    </w:rPr>
  </w:style>
  <w:style w:type="character" w:styleId="UnresolvedMention">
    <w:name w:val="Unresolved Mention"/>
    <w:basedOn w:val="DefaultParagraphFont"/>
    <w:uiPriority w:val="99"/>
    <w:semiHidden/>
    <w:unhideWhenUsed/>
    <w:rsid w:val="00B124A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pi.wi.gov/sites/default/files/imce/titleiva/T4PA_Center_Evaluation_Guide.pdf" TargetMode="External"/><Relationship Id="rId13" Type="http://schemas.openxmlformats.org/officeDocument/2006/relationships/hyperlink" Target="https://dpi.wi.gov/sites/default/files/imce/titleiva/T4PA_Center_Evaluation_Guid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ed.gov/policy/elsec/leg/essa/guidanceuseseinvestmen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gov/policy/elsec/leg/essa/guidanceuseseinvestment.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2.ed.gov/policy/elsec/leg/essa/guidanceuseseinvestment.pdf" TargetMode="External"/><Relationship Id="rId4" Type="http://schemas.openxmlformats.org/officeDocument/2006/relationships/settings" Target="settings.xml"/><Relationship Id="rId9" Type="http://schemas.openxmlformats.org/officeDocument/2006/relationships/hyperlink" Target="https://dpi.wi.gov/titleiva/guidance-needs-assessmen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9S4tdLahOcerOhAxiQ4fX7aq2A==">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Holder, Emily  S.   DPI</dc:creator>
  <cp:lastModifiedBy>Holder, Emily  S.   DPI</cp:lastModifiedBy>
  <cp:revision>4</cp:revision>
  <dcterms:created xsi:type="dcterms:W3CDTF">2022-06-29T11:42:00Z</dcterms:created>
  <dcterms:modified xsi:type="dcterms:W3CDTF">2022-09-07T13:53:00Z</dcterms:modified>
</cp:coreProperties>
</file>